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4"/>
          <w:szCs w:val="44"/>
          <w:lang w:val="en-US" w:eastAsia="zh-CN"/>
        </w:rPr>
      </w:pPr>
      <w:r>
        <w:rPr>
          <w:rFonts w:hint="eastAsia"/>
          <w:b/>
          <w:bCs/>
          <w:sz w:val="44"/>
          <w:szCs w:val="44"/>
          <w:lang w:val="en-US" w:eastAsia="zh-CN"/>
        </w:rPr>
        <w:t>青海省远程异地开标系统操作手册</w:t>
      </w:r>
    </w:p>
    <w:p>
      <w:pPr>
        <w:jc w:val="center"/>
        <w:rPr>
          <w:rFonts w:hint="eastAsia"/>
          <w:b/>
          <w:bCs/>
          <w:sz w:val="44"/>
          <w:szCs w:val="44"/>
          <w:lang w:val="en-US" w:eastAsia="zh-CN"/>
        </w:rPr>
      </w:pPr>
      <w:r>
        <w:rPr>
          <w:rFonts w:hint="eastAsia"/>
          <w:b/>
          <w:bCs/>
          <w:sz w:val="44"/>
          <w:szCs w:val="44"/>
          <w:lang w:val="en-US" w:eastAsia="zh-CN"/>
        </w:rPr>
        <w:t>（代理机构）</w:t>
      </w:r>
      <w:bookmarkStart w:id="0" w:name="_GoBack"/>
      <w:bookmarkEnd w:id="0"/>
    </w:p>
    <w:p>
      <w:pPr>
        <w:rPr>
          <w:rFonts w:hint="eastAsia"/>
          <w:lang w:val="en-US" w:eastAsia="zh-CN"/>
        </w:rPr>
      </w:pPr>
    </w:p>
    <w:p>
      <w:pPr>
        <w:rPr>
          <w:rFonts w:hint="eastAsia"/>
          <w:lang w:val="en-US" w:eastAsia="zh-CN"/>
        </w:rPr>
      </w:pPr>
    </w:p>
    <w:p>
      <w:pP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AFD"/>
        <w:spacing w:before="0" w:beforeAutospacing="0" w:after="0" w:afterAutospacing="0" w:line="360" w:lineRule="auto"/>
        <w:ind w:left="0" w:right="0" w:firstLine="0"/>
        <w:jc w:val="both"/>
        <w:rPr>
          <w:rFonts w:ascii="微软雅黑" w:hAnsi="微软雅黑" w:eastAsia="微软雅黑" w:cs="微软雅黑"/>
          <w:i w:val="0"/>
          <w:iCs w:val="0"/>
          <w:caps w:val="0"/>
          <w:color w:val="333333"/>
          <w:spacing w:val="0"/>
          <w:sz w:val="16"/>
          <w:szCs w:val="16"/>
        </w:rPr>
      </w:pPr>
      <w:r>
        <w:rPr>
          <w:rFonts w:hint="eastAsia" w:ascii="黑体" w:hAnsi="宋体" w:eastAsia="黑体" w:cs="黑体"/>
          <w:b/>
          <w:bCs/>
          <w:i w:val="0"/>
          <w:iCs w:val="0"/>
          <w:caps w:val="0"/>
          <w:color w:val="333333"/>
          <w:spacing w:val="0"/>
          <w:kern w:val="0"/>
          <w:sz w:val="32"/>
          <w:szCs w:val="32"/>
          <w:shd w:val="clear" w:fill="F7FAFD"/>
          <w:lang w:val="en-US" w:eastAsia="zh-CN" w:bidi="ar"/>
        </w:rPr>
        <w:t>前言</w:t>
      </w:r>
      <w:r>
        <w:rPr>
          <w:rFonts w:ascii="黑体" w:hAnsi="宋体" w:eastAsia="黑体" w:cs="黑体"/>
          <w:b/>
          <w:bCs/>
          <w:i w:val="0"/>
          <w:iCs w:val="0"/>
          <w:caps w:val="0"/>
          <w:color w:val="333333"/>
          <w:spacing w:val="0"/>
          <w:kern w:val="0"/>
          <w:sz w:val="32"/>
          <w:szCs w:val="32"/>
          <w:shd w:val="clear" w:fill="F7FAFD"/>
          <w:lang w:val="en-US" w:eastAsia="zh-CN" w:bidi="ar"/>
        </w:rPr>
        <w:t>必读：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AF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333333"/>
          <w:spacing w:val="0"/>
          <w:sz w:val="16"/>
          <w:szCs w:val="16"/>
        </w:rPr>
      </w:pPr>
      <w:r>
        <w:rPr>
          <w:rFonts w:ascii="仿宋_GB2312" w:hAnsi="微软雅黑" w:eastAsia="仿宋_GB2312" w:cs="仿宋_GB2312"/>
          <w:b/>
          <w:bCs/>
          <w:i w:val="0"/>
          <w:iCs w:val="0"/>
          <w:caps w:val="0"/>
          <w:color w:val="333333"/>
          <w:spacing w:val="0"/>
          <w:kern w:val="0"/>
          <w:sz w:val="32"/>
          <w:szCs w:val="32"/>
          <w:shd w:val="clear" w:fill="F7FAFD"/>
          <w:lang w:val="en-US" w:eastAsia="zh-CN" w:bidi="ar"/>
        </w:rPr>
        <w:t>1.</w:t>
      </w:r>
      <w:r>
        <w:rPr>
          <w:rFonts w:hint="default" w:ascii="仿宋_GB2312" w:hAnsi="微软雅黑" w:eastAsia="仿宋_GB2312" w:cs="仿宋_GB2312"/>
          <w:b/>
          <w:bCs/>
          <w:i w:val="0"/>
          <w:iCs w:val="0"/>
          <w:caps w:val="0"/>
          <w:color w:val="333333"/>
          <w:spacing w:val="0"/>
          <w:kern w:val="0"/>
          <w:sz w:val="32"/>
          <w:szCs w:val="32"/>
          <w:shd w:val="clear" w:fill="F7FAFD"/>
          <w:lang w:val="en-US" w:eastAsia="zh-CN" w:bidi="ar"/>
        </w:rPr>
        <w:t> 招标代理企业需到交易中心开标室进行开标操作。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7FAFD"/>
        <w:spacing w:before="0" w:beforeAutospacing="0" w:after="0" w:afterAutospacing="0" w:line="360" w:lineRule="auto"/>
        <w:ind w:left="0" w:right="0" w:firstLine="0"/>
        <w:jc w:val="both"/>
        <w:rPr>
          <w:rFonts w:hint="eastAsia" w:ascii="微软雅黑" w:hAnsi="微软雅黑" w:eastAsia="微软雅黑" w:cs="微软雅黑"/>
          <w:i w:val="0"/>
          <w:iCs w:val="0"/>
          <w:caps w:val="0"/>
          <w:color w:val="333333"/>
          <w:spacing w:val="0"/>
          <w:sz w:val="16"/>
          <w:szCs w:val="16"/>
        </w:rPr>
      </w:pPr>
      <w:r>
        <w:rPr>
          <w:rFonts w:hint="eastAsia" w:ascii="仿宋_GB2312" w:hAnsi="微软雅黑" w:eastAsia="仿宋_GB2312" w:cs="仿宋_GB2312"/>
          <w:b/>
          <w:bCs/>
          <w:i w:val="0"/>
          <w:iCs w:val="0"/>
          <w:caps w:val="0"/>
          <w:color w:val="333333"/>
          <w:spacing w:val="0"/>
          <w:kern w:val="0"/>
          <w:sz w:val="32"/>
          <w:szCs w:val="32"/>
          <w:shd w:val="clear" w:fill="F7FAFD"/>
          <w:lang w:val="en-US" w:eastAsia="zh-CN" w:bidi="ar"/>
        </w:rPr>
        <w:t>2</w:t>
      </w:r>
      <w:r>
        <w:rPr>
          <w:rFonts w:hint="default" w:ascii="仿宋_GB2312" w:hAnsi="微软雅黑" w:eastAsia="仿宋_GB2312" w:cs="仿宋_GB2312"/>
          <w:b/>
          <w:bCs/>
          <w:i w:val="0"/>
          <w:iCs w:val="0"/>
          <w:caps w:val="0"/>
          <w:color w:val="333333"/>
          <w:spacing w:val="0"/>
          <w:kern w:val="0"/>
          <w:sz w:val="32"/>
          <w:szCs w:val="32"/>
          <w:shd w:val="clear" w:fill="F7FAFD"/>
          <w:lang w:val="en-US" w:eastAsia="zh-CN" w:bidi="ar"/>
        </w:rPr>
        <w:t>. 代理公司应提前熟悉操作手册，做好开标工作。</w:t>
      </w:r>
    </w:p>
    <w:p>
      <w:pPr>
        <w:numPr>
          <w:ilvl w:val="0"/>
          <w:numId w:val="1"/>
        </w:num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登录系统</w:t>
      </w:r>
    </w:p>
    <w:p>
      <w:pPr>
        <w:numPr>
          <w:ilvl w:val="1"/>
          <w:numId w:val="2"/>
        </w:numPr>
        <w:rPr>
          <w:rFonts w:hint="eastAsia"/>
          <w:lang w:val="en-US" w:eastAsia="zh-CN"/>
        </w:rPr>
      </w:pPr>
      <w:r>
        <w:rPr>
          <w:rFonts w:hint="eastAsia"/>
          <w:lang w:val="en-US" w:eastAsia="zh-CN"/>
        </w:rPr>
        <w:t>访问公共资源交易网，点击【远程开标】打开登录链接</w:t>
      </w:r>
    </w:p>
    <w:p>
      <w:r>
        <w:drawing>
          <wp:inline distT="0" distB="0" distL="114300" distR="114300">
            <wp:extent cx="5270500" cy="2388870"/>
            <wp:effectExtent l="0" t="0" r="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294" b="11804"/>
                    <a:stretch>
                      <a:fillRect/>
                    </a:stretch>
                  </pic:blipFill>
                  <pic:spPr>
                    <a:xfrm>
                      <a:off x="0" y="0"/>
                      <a:ext cx="5270500" cy="2388870"/>
                    </a:xfrm>
                    <a:prstGeom prst="rect">
                      <a:avLst/>
                    </a:prstGeom>
                    <a:noFill/>
                    <a:ln>
                      <a:noFill/>
                    </a:ln>
                  </pic:spPr>
                </pic:pic>
              </a:graphicData>
            </a:graphic>
          </wp:inline>
        </w:drawing>
      </w:r>
    </w:p>
    <w:p/>
    <w:p>
      <w:r>
        <w:rPr>
          <w:rFonts w:hint="eastAsia"/>
          <w:lang w:val="en-US" w:eastAsia="zh-CN"/>
        </w:rPr>
        <w:t>也可以直接在浏览器中输入地址：</w:t>
      </w:r>
      <w:r>
        <w:rPr>
          <w:rFonts w:hint="eastAsia"/>
        </w:rPr>
        <w:fldChar w:fldCharType="begin"/>
      </w:r>
      <w:r>
        <w:rPr>
          <w:rFonts w:hint="eastAsia"/>
        </w:rPr>
        <w:instrText xml:space="preserve"> HYPERLINK "https://www.qhggzyjy.gov.cn/BidOpening" </w:instrText>
      </w:r>
      <w:r>
        <w:rPr>
          <w:rFonts w:hint="eastAsia"/>
        </w:rPr>
        <w:fldChar w:fldCharType="separate"/>
      </w:r>
      <w:r>
        <w:rPr>
          <w:rStyle w:val="4"/>
          <w:rFonts w:hint="eastAsia"/>
        </w:rPr>
        <w:t>https://www.qhggzyjy.gov.cn/BidOpening</w:t>
      </w:r>
      <w:r>
        <w:rPr>
          <w:rFonts w:hint="eastAsia"/>
        </w:rPr>
        <w:fldChar w:fldCharType="end"/>
      </w:r>
      <w:r>
        <w:rPr>
          <w:rFonts w:hint="eastAsia"/>
          <w:lang w:val="en-US" w:eastAsia="zh-CN"/>
        </w:rPr>
        <w:t xml:space="preserve"> </w:t>
      </w:r>
    </w:p>
    <w:p/>
    <w:p>
      <w:pPr>
        <w:numPr>
          <w:ilvl w:val="1"/>
          <w:numId w:val="2"/>
        </w:numPr>
        <w:rPr>
          <w:rFonts w:hint="default"/>
          <w:lang w:val="en-US" w:eastAsia="zh-CN"/>
        </w:rPr>
      </w:pPr>
      <w:r>
        <w:rPr>
          <w:rFonts w:hint="eastAsia"/>
          <w:lang w:val="en-US" w:eastAsia="zh-CN"/>
        </w:rPr>
        <w:t>选择对应的身份登录系统</w:t>
      </w:r>
    </w:p>
    <w:p>
      <w:pPr>
        <w:numPr>
          <w:ilvl w:val="0"/>
          <w:numId w:val="0"/>
        </w:numPr>
        <w:ind w:leftChars="0"/>
        <w:rPr>
          <w:rFonts w:hint="default" w:ascii="黑体" w:hAnsi="黑体" w:eastAsia="黑体" w:cs="黑体"/>
          <w:sz w:val="32"/>
          <w:szCs w:val="32"/>
          <w:lang w:val="en-US" w:eastAsia="zh-CN"/>
        </w:rPr>
      </w:pPr>
      <w:r>
        <w:drawing>
          <wp:inline distT="0" distB="0" distL="114300" distR="114300">
            <wp:extent cx="5270500" cy="2262505"/>
            <wp:effectExtent l="0" t="0" r="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1635" b="11398"/>
                    <a:stretch>
                      <a:fillRect/>
                    </a:stretch>
                  </pic:blipFill>
                  <pic:spPr>
                    <a:xfrm>
                      <a:off x="0" y="0"/>
                      <a:ext cx="5270500" cy="2262505"/>
                    </a:xfrm>
                    <a:prstGeom prst="rect">
                      <a:avLst/>
                    </a:prstGeom>
                    <a:noFill/>
                    <a:ln>
                      <a:noFill/>
                    </a:ln>
                  </pic:spPr>
                </pic:pic>
              </a:graphicData>
            </a:graphic>
          </wp:inline>
        </w:drawing>
      </w:r>
    </w:p>
    <w:p>
      <w:pPr>
        <w:numPr>
          <w:ilvl w:val="0"/>
          <w:numId w:val="1"/>
        </w:numPr>
        <w:ind w:left="0" w:leftChars="0" w:firstLine="0" w:firstLineChars="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主持开标</w:t>
      </w:r>
    </w:p>
    <w:p>
      <w:pPr>
        <w:numPr>
          <w:ilvl w:val="1"/>
          <w:numId w:val="3"/>
        </w:numPr>
        <w:ind w:left="567" w:leftChars="0" w:hanging="567" w:firstLineChars="0"/>
        <w:rPr>
          <w:rFonts w:hint="eastAsia"/>
          <w:lang w:val="en-US" w:eastAsia="zh-CN"/>
        </w:rPr>
      </w:pPr>
      <w:r>
        <w:rPr>
          <w:rFonts w:hint="eastAsia"/>
          <w:lang w:val="en-US" w:eastAsia="zh-CN"/>
        </w:rPr>
        <w:t>进入开标项目</w:t>
      </w:r>
    </w:p>
    <w:p>
      <w:pPr>
        <w:rPr>
          <w:rFonts w:hint="eastAsia"/>
          <w:lang w:val="en-US" w:eastAsia="zh-CN"/>
        </w:rPr>
      </w:pPr>
      <w:r>
        <w:rPr>
          <w:rFonts w:hint="eastAsia"/>
          <w:lang w:val="en-US" w:eastAsia="zh-CN"/>
        </w:rPr>
        <w:t>系统</w:t>
      </w:r>
      <w:r>
        <w:rPr>
          <w:rFonts w:hint="default"/>
          <w:lang w:val="en-US" w:eastAsia="zh-CN"/>
        </w:rPr>
        <w:t>会在</w:t>
      </w:r>
      <w:r>
        <w:rPr>
          <w:rFonts w:hint="eastAsia"/>
          <w:lang w:val="en-US" w:eastAsia="zh-CN"/>
        </w:rPr>
        <w:t>每天</w:t>
      </w:r>
      <w:r>
        <w:rPr>
          <w:rFonts w:hint="default"/>
          <w:lang w:val="en-US" w:eastAsia="zh-CN"/>
        </w:rPr>
        <w:t>00:00自动同步</w:t>
      </w:r>
      <w:r>
        <w:rPr>
          <w:rFonts w:hint="eastAsia"/>
          <w:lang w:val="en-US" w:eastAsia="zh-CN"/>
        </w:rPr>
        <w:t>当日项目</w:t>
      </w:r>
      <w:r>
        <w:rPr>
          <w:rFonts w:hint="default"/>
          <w:lang w:val="en-US" w:eastAsia="zh-CN"/>
        </w:rPr>
        <w:t>，故只有开标当天登录后，才可以看到今日开标的项目</w:t>
      </w:r>
      <w:r>
        <w:rPr>
          <w:rFonts w:hint="eastAsia"/>
          <w:lang w:val="en-US" w:eastAsia="zh-CN"/>
        </w:rPr>
        <w:t>。</w:t>
      </w:r>
    </w:p>
    <w:p>
      <w:r>
        <w:drawing>
          <wp:inline distT="0" distB="0" distL="114300" distR="114300">
            <wp:extent cx="5270500" cy="2806700"/>
            <wp:effectExtent l="0" t="0" r="254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70500" cy="2806700"/>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阅读开标流程提示，了解本项目开标流程</w:t>
      </w:r>
    </w:p>
    <w:p>
      <w:r>
        <w:drawing>
          <wp:inline distT="0" distB="0" distL="114300" distR="114300">
            <wp:extent cx="5271135" cy="2659380"/>
            <wp:effectExtent l="0" t="0" r="190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71135" cy="2659380"/>
                    </a:xfrm>
                    <a:prstGeom prst="rect">
                      <a:avLst/>
                    </a:prstGeom>
                    <a:noFill/>
                    <a:ln>
                      <a:noFill/>
                    </a:ln>
                  </pic:spPr>
                </pic:pic>
              </a:graphicData>
            </a:graphic>
          </wp:inline>
        </w:drawing>
      </w:r>
    </w:p>
    <w:p>
      <w:pPr>
        <w:rPr>
          <w:rFonts w:hint="default"/>
          <w:lang w:val="en-US" w:eastAsia="zh-CN"/>
        </w:rPr>
      </w:pPr>
    </w:p>
    <w:p>
      <w:pPr>
        <w:numPr>
          <w:ilvl w:val="1"/>
          <w:numId w:val="3"/>
        </w:numPr>
        <w:ind w:left="567" w:leftChars="0" w:hanging="567" w:firstLineChars="0"/>
        <w:rPr>
          <w:rFonts w:hint="eastAsia"/>
          <w:lang w:val="en-US" w:eastAsia="zh-CN"/>
        </w:rPr>
      </w:pPr>
      <w:r>
        <w:rPr>
          <w:rFonts w:hint="eastAsia"/>
          <w:lang w:val="en-US" w:eastAsia="zh-CN"/>
        </w:rPr>
        <w:t>设置是否开启群聊</w:t>
      </w:r>
    </w:p>
    <w:p>
      <w:pPr>
        <w:numPr>
          <w:ilvl w:val="0"/>
          <w:numId w:val="0"/>
        </w:numPr>
        <w:ind w:leftChars="0"/>
        <w:rPr>
          <w:rFonts w:hint="default"/>
          <w:lang w:val="en-US" w:eastAsia="zh-CN"/>
        </w:rPr>
      </w:pPr>
      <w:r>
        <w:rPr>
          <w:rFonts w:hint="eastAsia"/>
          <w:lang w:val="en-US" w:eastAsia="zh-CN"/>
        </w:rPr>
        <w:t>开启群聊或私聊后，投标人可以在线文字交流</w:t>
      </w:r>
    </w:p>
    <w:p>
      <w:pPr>
        <w:numPr>
          <w:ilvl w:val="0"/>
          <w:numId w:val="0"/>
        </w:numPr>
        <w:ind w:leftChars="0"/>
      </w:pPr>
      <w:r>
        <w:drawing>
          <wp:inline distT="0" distB="0" distL="114300" distR="114300">
            <wp:extent cx="5267960" cy="3139440"/>
            <wp:effectExtent l="0" t="0" r="508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7960" cy="3139440"/>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1"/>
          <w:numId w:val="3"/>
        </w:numPr>
        <w:ind w:left="567" w:leftChars="0" w:hanging="567" w:firstLineChars="0"/>
        <w:rPr>
          <w:rFonts w:hint="eastAsia"/>
          <w:lang w:val="en-US" w:eastAsia="zh-CN"/>
        </w:rPr>
      </w:pPr>
      <w:r>
        <w:rPr>
          <w:rFonts w:hint="eastAsia"/>
          <w:lang w:val="en-US" w:eastAsia="zh-CN"/>
        </w:rPr>
        <w:t>开标时间截止后，代理机构公布投标人名单</w:t>
      </w:r>
    </w:p>
    <w:p>
      <w:r>
        <w:drawing>
          <wp:inline distT="0" distB="0" distL="114300" distR="114300">
            <wp:extent cx="5272405" cy="2610485"/>
            <wp:effectExtent l="0" t="0" r="635"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5272405" cy="2610485"/>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查看投标人投标情况</w:t>
      </w:r>
    </w:p>
    <w:p>
      <w:pPr>
        <w:numPr>
          <w:ilvl w:val="0"/>
          <w:numId w:val="0"/>
        </w:numPr>
        <w:ind w:leftChars="0"/>
        <w:rPr>
          <w:rFonts w:hint="default"/>
          <w:lang w:val="en-US" w:eastAsia="zh-CN"/>
        </w:rPr>
      </w:pPr>
      <w:r>
        <w:rPr>
          <w:rFonts w:hint="eastAsia"/>
          <w:lang w:val="en-US" w:eastAsia="zh-CN"/>
        </w:rPr>
        <w:t>若有投标人不符合要求，可进行退回操作。若投标信息无误，则进入下一阶段。</w:t>
      </w:r>
    </w:p>
    <w:p>
      <w:r>
        <w:drawing>
          <wp:inline distT="0" distB="0" distL="114300" distR="114300">
            <wp:extent cx="5273675" cy="3011805"/>
            <wp:effectExtent l="0" t="0" r="14605"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tretch>
                      <a:fillRect/>
                    </a:stretch>
                  </pic:blipFill>
                  <pic:spPr>
                    <a:xfrm>
                      <a:off x="0" y="0"/>
                      <a:ext cx="5273675" cy="3011805"/>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开启投标人解密</w:t>
      </w:r>
    </w:p>
    <w:p>
      <w:pPr>
        <w:numPr>
          <w:ilvl w:val="0"/>
          <w:numId w:val="0"/>
        </w:numPr>
        <w:ind w:leftChars="0"/>
        <w:rPr>
          <w:rFonts w:hint="eastAsia"/>
          <w:lang w:val="en-US" w:eastAsia="zh-CN"/>
        </w:rPr>
      </w:pPr>
      <w:r>
        <w:rPr>
          <w:rFonts w:hint="eastAsia"/>
          <w:lang w:val="en-US" w:eastAsia="zh-CN"/>
        </w:rPr>
        <w:t>代理机构点击开启投标人解密，各投标人及时完成解密。</w:t>
      </w:r>
    </w:p>
    <w:p>
      <w:pPr>
        <w:numPr>
          <w:ilvl w:val="0"/>
          <w:numId w:val="0"/>
        </w:numPr>
        <w:ind w:leftChars="0"/>
      </w:pPr>
      <w:r>
        <w:drawing>
          <wp:inline distT="0" distB="0" distL="114300" distR="114300">
            <wp:extent cx="5273040" cy="2680335"/>
            <wp:effectExtent l="0" t="0" r="0"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3040" cy="2680335"/>
                    </a:xfrm>
                    <a:prstGeom prst="rect">
                      <a:avLst/>
                    </a:prstGeom>
                    <a:noFill/>
                    <a:ln>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default"/>
          <w:lang w:val="en-US" w:eastAsia="zh-CN"/>
        </w:rPr>
      </w:pPr>
      <w:r>
        <w:rPr>
          <w:rFonts w:hint="eastAsia"/>
          <w:lang w:val="en-US" w:eastAsia="zh-CN"/>
        </w:rPr>
        <w:t>若解密时间不足，可点击延长解密时长。</w:t>
      </w:r>
    </w:p>
    <w:p>
      <w:pPr>
        <w:rPr>
          <w:rFonts w:hint="default"/>
          <w:lang w:val="en-US" w:eastAsia="zh-CN"/>
        </w:rPr>
      </w:pPr>
      <w:r>
        <w:drawing>
          <wp:inline distT="0" distB="0" distL="114300" distR="114300">
            <wp:extent cx="5271770" cy="2698750"/>
            <wp:effectExtent l="0" t="0" r="1270" b="139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5271770" cy="2698750"/>
                    </a:xfrm>
                    <a:prstGeom prst="rect">
                      <a:avLst/>
                    </a:prstGeom>
                    <a:noFill/>
                    <a:ln>
                      <a:noFill/>
                    </a:ln>
                  </pic:spPr>
                </pic:pic>
              </a:graphicData>
            </a:graphic>
          </wp:inline>
        </w:drawing>
      </w:r>
    </w:p>
    <w:p>
      <w:pPr>
        <w:rPr>
          <w:rFonts w:hint="default"/>
          <w:lang w:val="en-US" w:eastAsia="zh-CN"/>
        </w:rPr>
      </w:pPr>
    </w:p>
    <w:p>
      <w:pPr>
        <w:numPr>
          <w:ilvl w:val="1"/>
          <w:numId w:val="3"/>
        </w:numPr>
        <w:ind w:left="567" w:leftChars="0" w:hanging="567" w:firstLineChars="0"/>
        <w:rPr>
          <w:rFonts w:hint="eastAsia"/>
          <w:lang w:val="en-US" w:eastAsia="zh-CN"/>
        </w:rPr>
      </w:pPr>
      <w:r>
        <w:rPr>
          <w:rFonts w:hint="eastAsia"/>
          <w:lang w:val="en-US" w:eastAsia="zh-CN"/>
        </w:rPr>
        <w:t>招标人解密</w:t>
      </w:r>
    </w:p>
    <w:p>
      <w:pPr>
        <w:numPr>
          <w:ilvl w:val="0"/>
          <w:numId w:val="0"/>
        </w:numPr>
        <w:ind w:leftChars="0"/>
        <w:rPr>
          <w:rFonts w:hint="default"/>
          <w:lang w:val="en-US" w:eastAsia="zh-CN"/>
        </w:rPr>
      </w:pPr>
      <w:r>
        <w:rPr>
          <w:rFonts w:hint="eastAsia"/>
          <w:lang w:val="en-US" w:eastAsia="zh-CN"/>
        </w:rPr>
        <w:t>所有投标单位解密完成后，由代理机构进行最终解密。</w:t>
      </w:r>
    </w:p>
    <w:p>
      <w:r>
        <w:drawing>
          <wp:inline distT="0" distB="0" distL="114300" distR="114300">
            <wp:extent cx="5267325" cy="2980690"/>
            <wp:effectExtent l="0" t="0" r="5715" b="635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267325" cy="2980690"/>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导入标书文件</w:t>
      </w:r>
    </w:p>
    <w:p>
      <w:pPr>
        <w:numPr>
          <w:ilvl w:val="0"/>
          <w:numId w:val="0"/>
        </w:numPr>
        <w:ind w:leftChars="0"/>
        <w:rPr>
          <w:rFonts w:hint="default"/>
          <w:lang w:val="en-US" w:eastAsia="zh-CN"/>
        </w:rPr>
      </w:pPr>
      <w:r>
        <w:rPr>
          <w:rFonts w:hint="eastAsia"/>
          <w:lang w:val="en-US" w:eastAsia="zh-CN"/>
        </w:rPr>
        <w:t>所有投标文件解密完成后，点击导入文件。</w:t>
      </w:r>
    </w:p>
    <w:p>
      <w:r>
        <w:drawing>
          <wp:inline distT="0" distB="0" distL="114300" distR="114300">
            <wp:extent cx="5269865" cy="2978150"/>
            <wp:effectExtent l="0" t="0" r="3175" b="889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5269865" cy="2978150"/>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抽取评标基准价系数</w:t>
      </w:r>
    </w:p>
    <w:p>
      <w:pPr>
        <w:numPr>
          <w:ilvl w:val="0"/>
          <w:numId w:val="0"/>
        </w:numPr>
        <w:ind w:leftChars="0" w:firstLine="420" w:firstLineChars="0"/>
        <w:rPr>
          <w:rFonts w:hint="eastAsia"/>
          <w:lang w:val="en-US" w:eastAsia="zh-CN"/>
        </w:rPr>
      </w:pPr>
      <w:r>
        <w:rPr>
          <w:rFonts w:hint="eastAsia"/>
          <w:color w:val="FF0000"/>
          <w:highlight w:val="none"/>
          <w:lang w:val="en-US" w:eastAsia="zh-CN"/>
        </w:rPr>
        <w:t>若本项目需抽取评标基准价系数，可以在开标系统中随机抽取。若本项目无须抽取，可以跳过该环节。</w:t>
      </w:r>
    </w:p>
    <w:p>
      <w:pPr>
        <w:numPr>
          <w:ilvl w:val="0"/>
          <w:numId w:val="0"/>
        </w:numPr>
        <w:ind w:leftChars="0" w:firstLine="420" w:firstLineChars="0"/>
        <w:rPr>
          <w:rFonts w:hint="default"/>
          <w:lang w:val="en-US" w:eastAsia="zh-CN"/>
        </w:rPr>
      </w:pPr>
    </w:p>
    <w:p>
      <w:pPr>
        <w:numPr>
          <w:ilvl w:val="2"/>
          <w:numId w:val="3"/>
        </w:numPr>
        <w:ind w:left="709" w:leftChars="0" w:hanging="709" w:firstLineChars="0"/>
        <w:rPr>
          <w:rFonts w:hint="eastAsia"/>
          <w:lang w:val="en-US" w:eastAsia="zh-CN"/>
        </w:rPr>
      </w:pPr>
      <w:r>
        <w:rPr>
          <w:rFonts w:hint="eastAsia"/>
          <w:lang w:val="en-US" w:eastAsia="zh-CN"/>
        </w:rPr>
        <w:t>抽取投标人代表</w:t>
      </w:r>
    </w:p>
    <w:p>
      <w:pPr>
        <w:numPr>
          <w:ilvl w:val="0"/>
          <w:numId w:val="0"/>
        </w:numPr>
        <w:ind w:leftChars="0" w:firstLine="420" w:firstLineChars="0"/>
        <w:rPr>
          <w:rFonts w:hint="eastAsia"/>
          <w:lang w:val="en-US" w:eastAsia="zh-CN"/>
        </w:rPr>
      </w:pPr>
      <w:r>
        <w:rPr>
          <w:rFonts w:hint="eastAsia"/>
          <w:lang w:val="en-US" w:eastAsia="zh-CN"/>
        </w:rPr>
        <w:t>代理机构随机抽取一名投标人代表。后续由该投标人代表进行具体的系数抽取操作。</w:t>
      </w:r>
    </w:p>
    <w:p>
      <w:pPr>
        <w:numPr>
          <w:ilvl w:val="0"/>
          <w:numId w:val="0"/>
        </w:numPr>
        <w:ind w:leftChars="0" w:firstLine="420" w:firstLineChars="0"/>
        <w:rPr>
          <w:rFonts w:hint="default"/>
          <w:lang w:val="en-US" w:eastAsia="zh-CN"/>
        </w:rPr>
      </w:pPr>
      <w:r>
        <w:rPr>
          <w:rFonts w:hint="eastAsia"/>
          <w:color w:val="FF0000"/>
          <w:lang w:val="en-US" w:eastAsia="zh-CN"/>
        </w:rPr>
        <w:t>代理机构需在抽取出投标人代表后，方可进入下一阶段操作！</w:t>
      </w:r>
    </w:p>
    <w:p>
      <w:pPr>
        <w:numPr>
          <w:ilvl w:val="0"/>
          <w:numId w:val="0"/>
        </w:numPr>
        <w:ind w:leftChars="0"/>
      </w:pPr>
      <w:r>
        <w:drawing>
          <wp:inline distT="0" distB="0" distL="114300" distR="114300">
            <wp:extent cx="5267325" cy="2911475"/>
            <wp:effectExtent l="0" t="0" r="571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267325" cy="2911475"/>
                    </a:xfrm>
                    <a:prstGeom prst="rect">
                      <a:avLst/>
                    </a:prstGeom>
                    <a:noFill/>
                    <a:ln>
                      <a:noFill/>
                    </a:ln>
                  </pic:spPr>
                </pic:pic>
              </a:graphicData>
            </a:graphic>
          </wp:inline>
        </w:drawing>
      </w:r>
    </w:p>
    <w:p>
      <w:pPr>
        <w:numPr>
          <w:ilvl w:val="0"/>
          <w:numId w:val="0"/>
        </w:numPr>
        <w:ind w:leftChars="0" w:firstLine="420" w:firstLineChars="200"/>
        <w:rPr>
          <w:rFonts w:hint="default" w:eastAsiaTheme="minorEastAsia"/>
          <w:lang w:val="en-US" w:eastAsia="zh-CN"/>
        </w:rPr>
      </w:pPr>
      <w:r>
        <w:rPr>
          <w:rFonts w:hint="eastAsia"/>
          <w:lang w:val="en-US" w:eastAsia="zh-CN"/>
        </w:rPr>
        <w:t>说明：房建市政施工项目直接由代理进行商务标评审方法和浮动系数A值的抽取！</w:t>
      </w: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272405" cy="3233420"/>
            <wp:effectExtent l="0" t="0" r="635" b="1270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6"/>
                    <a:stretch>
                      <a:fillRect/>
                    </a:stretch>
                  </pic:blipFill>
                  <pic:spPr>
                    <a:xfrm>
                      <a:off x="0" y="0"/>
                      <a:ext cx="5272405" cy="3233420"/>
                    </a:xfrm>
                    <a:prstGeom prst="rect">
                      <a:avLst/>
                    </a:prstGeom>
                    <a:noFill/>
                    <a:ln w="9525">
                      <a:noFill/>
                    </a:ln>
                  </pic:spPr>
                </pic:pic>
              </a:graphicData>
            </a:graphic>
          </wp:inline>
        </w:drawing>
      </w:r>
    </w:p>
    <w:p>
      <w:pPr>
        <w:numPr>
          <w:ilvl w:val="0"/>
          <w:numId w:val="0"/>
        </w:numPr>
        <w:ind w:leftChars="0"/>
        <w:rPr>
          <w:rFonts w:hint="eastAsia" w:ascii="宋体" w:hAnsi="宋体" w:eastAsia="宋体" w:cs="宋体"/>
          <w:sz w:val="24"/>
          <w:szCs w:val="24"/>
          <w:lang w:val="en-US" w:eastAsia="zh-CN"/>
        </w:rPr>
      </w:pPr>
    </w:p>
    <w:p>
      <w:pPr>
        <w:numPr>
          <w:ilvl w:val="2"/>
          <w:numId w:val="3"/>
        </w:numPr>
        <w:ind w:left="709" w:leftChars="0" w:hanging="709" w:firstLineChars="0"/>
        <w:rPr>
          <w:rFonts w:hint="eastAsia"/>
          <w:lang w:val="en-US" w:eastAsia="zh-CN"/>
        </w:rPr>
      </w:pPr>
      <w:r>
        <w:rPr>
          <w:rFonts w:hint="eastAsia"/>
          <w:lang w:val="en-US" w:eastAsia="zh-CN"/>
        </w:rPr>
        <w:t>抽取系数（情景一：参与抽取的参数值为固定值）</w:t>
      </w:r>
    </w:p>
    <w:p>
      <w:pPr>
        <w:numPr>
          <w:ilvl w:val="0"/>
          <w:numId w:val="0"/>
        </w:numPr>
        <w:ind w:leftChars="0" w:firstLine="420" w:firstLineChars="0"/>
        <w:rPr>
          <w:rFonts w:hint="eastAsia"/>
          <w:lang w:val="en-US" w:eastAsia="zh-CN"/>
        </w:rPr>
      </w:pPr>
      <w:r>
        <w:rPr>
          <w:rFonts w:hint="eastAsia"/>
          <w:lang w:val="en-US" w:eastAsia="zh-CN"/>
        </w:rPr>
        <w:t>由上一环节抽取的投标人代表进行参数抽取操作。</w:t>
      </w:r>
    </w:p>
    <w:p>
      <w:pPr>
        <w:numPr>
          <w:ilvl w:val="0"/>
          <w:numId w:val="0"/>
        </w:numPr>
        <w:ind w:leftChars="0" w:firstLine="420" w:firstLineChars="0"/>
        <w:rPr>
          <w:rFonts w:hint="default"/>
          <w:lang w:val="en-US" w:eastAsia="zh-CN"/>
        </w:rPr>
      </w:pPr>
      <w:r>
        <w:rPr>
          <w:rFonts w:hint="eastAsia"/>
          <w:color w:val="FF0000"/>
          <w:lang w:val="en-US" w:eastAsia="zh-CN"/>
        </w:rPr>
        <w:t>代理机构需等待投标人代表抽取完成系数后，方可进入下一阶段操作！</w:t>
      </w:r>
    </w:p>
    <w:p>
      <w:pPr>
        <w:numPr>
          <w:ilvl w:val="0"/>
          <w:numId w:val="0"/>
        </w:numPr>
        <w:ind w:leftChars="0"/>
        <w:rPr>
          <w:rFonts w:hint="eastAsia"/>
          <w:lang w:val="en-US" w:eastAsia="zh-CN"/>
        </w:rPr>
      </w:pPr>
      <w:r>
        <w:drawing>
          <wp:inline distT="0" distB="0" distL="114300" distR="114300">
            <wp:extent cx="5268595" cy="3196590"/>
            <wp:effectExtent l="0" t="0" r="4445" b="38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5268595" cy="3196590"/>
                    </a:xfrm>
                    <a:prstGeom prst="rect">
                      <a:avLst/>
                    </a:prstGeom>
                    <a:noFill/>
                    <a:ln>
                      <a:noFill/>
                    </a:ln>
                  </pic:spPr>
                </pic:pic>
              </a:graphicData>
            </a:graphic>
          </wp:inline>
        </w:drawing>
      </w:r>
    </w:p>
    <w:p>
      <w:pPr>
        <w:numPr>
          <w:ilvl w:val="2"/>
          <w:numId w:val="3"/>
        </w:numPr>
        <w:ind w:left="709" w:leftChars="0" w:hanging="709" w:firstLineChars="0"/>
        <w:rPr>
          <w:rFonts w:hint="eastAsia"/>
          <w:lang w:val="en-US" w:eastAsia="zh-CN"/>
        </w:rPr>
      </w:pPr>
      <w:r>
        <w:rPr>
          <w:rFonts w:hint="eastAsia"/>
          <w:lang w:val="en-US" w:eastAsia="zh-CN"/>
        </w:rPr>
        <w:t>抽取系数（情景二：参与抽取的参数值为不固定值）</w:t>
      </w:r>
    </w:p>
    <w:p>
      <w:pPr>
        <w:numPr>
          <w:ilvl w:val="0"/>
          <w:numId w:val="0"/>
        </w:numPr>
        <w:ind w:leftChars="0" w:firstLine="420" w:firstLineChars="0"/>
        <w:rPr>
          <w:rFonts w:hint="eastAsia"/>
          <w:lang w:val="en-US" w:eastAsia="zh-CN"/>
        </w:rPr>
      </w:pPr>
      <w:r>
        <w:rPr>
          <w:rFonts w:hint="eastAsia"/>
          <w:lang w:val="en-US" w:eastAsia="zh-CN"/>
        </w:rPr>
        <w:t>对于待抽取的系数步长可变的情况，需由代理机构设置 最小值、最大值、步长，然后由上一环节抽取的投标人代表进行参数抽取操作。依次抽取各系数。</w:t>
      </w:r>
    </w:p>
    <w:p>
      <w:pPr>
        <w:numPr>
          <w:ilvl w:val="0"/>
          <w:numId w:val="4"/>
        </w:numPr>
        <w:ind w:leftChars="0" w:firstLine="420" w:firstLineChars="0"/>
        <w:rPr>
          <w:rFonts w:hint="default"/>
          <w:lang w:val="en-US" w:eastAsia="zh-CN"/>
        </w:rPr>
      </w:pPr>
      <w:r>
        <w:rPr>
          <w:rFonts w:hint="eastAsia"/>
          <w:lang w:val="en-US" w:eastAsia="zh-CN"/>
        </w:rPr>
        <w:t xml:space="preserve">首先由代理机构设置 最小值、最大值、步长； </w:t>
      </w:r>
    </w:p>
    <w:p>
      <w:pPr>
        <w:numPr>
          <w:ilvl w:val="0"/>
          <w:numId w:val="0"/>
        </w:numPr>
        <w:ind w:leftChars="0"/>
      </w:pPr>
      <w:r>
        <w:drawing>
          <wp:inline distT="0" distB="0" distL="114300" distR="114300">
            <wp:extent cx="5266055" cy="3198495"/>
            <wp:effectExtent l="0" t="0" r="6985" b="1905"/>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18"/>
                    <a:stretch>
                      <a:fillRect/>
                    </a:stretch>
                  </pic:blipFill>
                  <pic:spPr>
                    <a:xfrm>
                      <a:off x="0" y="0"/>
                      <a:ext cx="5266055" cy="3198495"/>
                    </a:xfrm>
                    <a:prstGeom prst="rect">
                      <a:avLst/>
                    </a:prstGeom>
                    <a:noFill/>
                    <a:ln>
                      <a:noFill/>
                    </a:ln>
                  </pic:spPr>
                </pic:pic>
              </a:graphicData>
            </a:graphic>
          </wp:inline>
        </w:drawing>
      </w:r>
    </w:p>
    <w:p>
      <w:pPr>
        <w:numPr>
          <w:ilvl w:val="0"/>
          <w:numId w:val="0"/>
        </w:numPr>
        <w:ind w:leftChars="0"/>
      </w:pPr>
    </w:p>
    <w:p>
      <w:pPr>
        <w:numPr>
          <w:ilvl w:val="0"/>
          <w:numId w:val="4"/>
        </w:numPr>
        <w:ind w:leftChars="0" w:firstLine="420" w:firstLineChars="0"/>
      </w:pPr>
      <w:r>
        <w:rPr>
          <w:rFonts w:hint="eastAsia"/>
          <w:lang w:val="en-US" w:eastAsia="zh-CN"/>
        </w:rPr>
        <w:t>点保存后，进入抽取页面，由投标人代表进行抽取操作</w:t>
      </w:r>
    </w:p>
    <w:p>
      <w:pPr>
        <w:numPr>
          <w:ilvl w:val="0"/>
          <w:numId w:val="0"/>
        </w:numPr>
        <w:ind w:leftChars="0"/>
      </w:pPr>
      <w:r>
        <w:drawing>
          <wp:inline distT="0" distB="0" distL="114300" distR="114300">
            <wp:extent cx="5273040" cy="3373755"/>
            <wp:effectExtent l="0" t="0" r="0" b="952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9"/>
                    <a:stretch>
                      <a:fillRect/>
                    </a:stretch>
                  </pic:blipFill>
                  <pic:spPr>
                    <a:xfrm>
                      <a:off x="0" y="0"/>
                      <a:ext cx="5273040" cy="3373755"/>
                    </a:xfrm>
                    <a:prstGeom prst="rect">
                      <a:avLst/>
                    </a:prstGeom>
                    <a:noFill/>
                    <a:ln>
                      <a:noFill/>
                    </a:ln>
                  </pic:spPr>
                </pic:pic>
              </a:graphicData>
            </a:graphic>
          </wp:inline>
        </w:drawing>
      </w:r>
    </w:p>
    <w:p>
      <w:pPr>
        <w:numPr>
          <w:ilvl w:val="0"/>
          <w:numId w:val="0"/>
        </w:numPr>
        <w:ind w:leftChars="0"/>
      </w:pPr>
    </w:p>
    <w:p>
      <w:pPr>
        <w:numPr>
          <w:ilvl w:val="0"/>
          <w:numId w:val="4"/>
        </w:numPr>
        <w:ind w:leftChars="0" w:firstLine="420" w:firstLineChars="0"/>
      </w:pPr>
      <w:r>
        <w:rPr>
          <w:rFonts w:hint="eastAsia"/>
          <w:lang w:val="en-US" w:eastAsia="zh-CN"/>
        </w:rPr>
        <w:t>投标人代表抽取完成后。代理机构再进行下一个系数抽取。操作同上。</w:t>
      </w:r>
    </w:p>
    <w:p>
      <w:pPr>
        <w:numPr>
          <w:ilvl w:val="0"/>
          <w:numId w:val="0"/>
        </w:numPr>
        <w:ind w:leftChars="0"/>
      </w:pPr>
      <w:r>
        <w:drawing>
          <wp:inline distT="0" distB="0" distL="114300" distR="114300">
            <wp:extent cx="5270500" cy="3194685"/>
            <wp:effectExtent l="0" t="0" r="2540" b="571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0"/>
                    <a:stretch>
                      <a:fillRect/>
                    </a:stretch>
                  </pic:blipFill>
                  <pic:spPr>
                    <a:xfrm>
                      <a:off x="0" y="0"/>
                      <a:ext cx="5270500" cy="319468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2.94房建市政施工评审方法和系数抽取</w:t>
      </w:r>
    </w:p>
    <w:p>
      <w:pPr>
        <w:numPr>
          <w:ilvl w:val="0"/>
          <w:numId w:val="0"/>
        </w:numPr>
        <w:ind w:leftChars="0" w:firstLine="420" w:firstLineChars="200"/>
        <w:rPr>
          <w:rFonts w:hint="default"/>
          <w:lang w:val="en-US" w:eastAsia="zh-CN"/>
        </w:rPr>
      </w:pPr>
      <w:r>
        <w:rPr>
          <w:rFonts w:hint="eastAsia"/>
          <w:lang w:val="en-US" w:eastAsia="zh-CN"/>
        </w:rPr>
        <w:t>根据青海省住建厅289号文件，针对房建市政施工项目在开标时，由代理机构在青海不见面开标系统中先抽取商务标评审方法和对应浮动系数A。</w:t>
      </w:r>
    </w:p>
    <w:p>
      <w:pPr>
        <w:numPr>
          <w:ilvl w:val="0"/>
          <w:numId w:val="0"/>
        </w:numPr>
        <w:rPr>
          <w:rFonts w:hint="eastAsia"/>
          <w:lang w:val="en-US" w:eastAsia="zh-CN"/>
        </w:rPr>
      </w:pPr>
      <w:r>
        <w:drawing>
          <wp:inline distT="0" distB="0" distL="114300" distR="114300">
            <wp:extent cx="5273040" cy="2221865"/>
            <wp:effectExtent l="0" t="0" r="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273040" cy="2221865"/>
                    </a:xfrm>
                    <a:prstGeom prst="rect">
                      <a:avLst/>
                    </a:prstGeom>
                    <a:noFill/>
                    <a:ln>
                      <a:noFill/>
                    </a:ln>
                  </pic:spPr>
                </pic:pic>
              </a:graphicData>
            </a:graphic>
          </wp:inline>
        </w:drawing>
      </w:r>
    </w:p>
    <w:p>
      <w:pPr>
        <w:numPr>
          <w:ilvl w:val="1"/>
          <w:numId w:val="3"/>
        </w:numPr>
        <w:ind w:left="567" w:leftChars="0" w:hanging="567" w:firstLineChars="0"/>
        <w:rPr>
          <w:rFonts w:hint="eastAsia"/>
          <w:lang w:val="en-US" w:eastAsia="zh-CN"/>
        </w:rPr>
      </w:pPr>
      <w:r>
        <w:rPr>
          <w:rFonts w:hint="eastAsia"/>
          <w:lang w:val="en-US" w:eastAsia="zh-CN"/>
        </w:rPr>
        <w:t>唱标</w:t>
      </w:r>
    </w:p>
    <w:p>
      <w:pPr>
        <w:numPr>
          <w:ilvl w:val="0"/>
          <w:numId w:val="0"/>
        </w:numPr>
        <w:ind w:leftChars="0"/>
        <w:rPr>
          <w:rFonts w:hint="default"/>
          <w:lang w:val="en-US" w:eastAsia="zh-CN"/>
        </w:rPr>
      </w:pPr>
      <w:r>
        <w:rPr>
          <w:rFonts w:hint="eastAsia"/>
          <w:lang w:val="en-US" w:eastAsia="zh-CN"/>
        </w:rPr>
        <w:t>所有投标文件导入成功（或系数抽取完成）后，投标人在线查看结果，如有异议可在线提出。</w:t>
      </w:r>
    </w:p>
    <w:p>
      <w:r>
        <w:drawing>
          <wp:inline distT="0" distB="0" distL="114300" distR="114300">
            <wp:extent cx="5271770" cy="3144520"/>
            <wp:effectExtent l="0" t="0" r="1270" b="1016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2"/>
                    <a:stretch>
                      <a:fillRect/>
                    </a:stretch>
                  </pic:blipFill>
                  <pic:spPr>
                    <a:xfrm>
                      <a:off x="0" y="0"/>
                      <a:ext cx="5271770" cy="3144520"/>
                    </a:xfrm>
                    <a:prstGeom prst="rect">
                      <a:avLst/>
                    </a:prstGeom>
                    <a:noFill/>
                    <a:ln>
                      <a:noFill/>
                    </a:ln>
                  </pic:spPr>
                </pic:pic>
              </a:graphicData>
            </a:graphic>
          </wp:inline>
        </w:drawing>
      </w:r>
    </w:p>
    <w:p/>
    <w:p>
      <w:pPr>
        <w:numPr>
          <w:ilvl w:val="1"/>
          <w:numId w:val="3"/>
        </w:numPr>
        <w:ind w:left="567" w:leftChars="0" w:hanging="567" w:firstLineChars="0"/>
        <w:rPr>
          <w:rFonts w:hint="eastAsia"/>
          <w:lang w:val="en-US" w:eastAsia="zh-CN"/>
        </w:rPr>
      </w:pPr>
      <w:r>
        <w:rPr>
          <w:rFonts w:hint="eastAsia"/>
          <w:lang w:val="en-US" w:eastAsia="zh-CN"/>
        </w:rPr>
        <w:t>开标结束</w:t>
      </w:r>
    </w:p>
    <w:p>
      <w:pPr>
        <w:numPr>
          <w:ilvl w:val="0"/>
          <w:numId w:val="0"/>
        </w:numPr>
        <w:ind w:leftChars="0"/>
        <w:rPr>
          <w:rFonts w:hint="default"/>
          <w:lang w:val="en-US" w:eastAsia="zh-CN"/>
        </w:rPr>
      </w:pPr>
      <w:r>
        <w:rPr>
          <w:rFonts w:hint="eastAsia"/>
          <w:lang w:val="en-US" w:eastAsia="zh-CN"/>
        </w:rPr>
        <w:t>如各交易主体对开标无异议，代理机构点击开标结束。</w:t>
      </w:r>
    </w:p>
    <w:p/>
    <w:p>
      <w:r>
        <w:drawing>
          <wp:inline distT="0" distB="0" distL="114300" distR="114300">
            <wp:extent cx="5266690" cy="3031490"/>
            <wp:effectExtent l="0" t="0" r="6350" b="127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3"/>
                    <a:stretch>
                      <a:fillRect/>
                    </a:stretch>
                  </pic:blipFill>
                  <pic:spPr>
                    <a:xfrm>
                      <a:off x="0" y="0"/>
                      <a:ext cx="5266690" cy="3031490"/>
                    </a:xfrm>
                    <a:prstGeom prst="rect">
                      <a:avLst/>
                    </a:prstGeom>
                    <a:noFill/>
                    <a:ln>
                      <a:noFill/>
                    </a:ln>
                  </pic:spPr>
                </pic:pic>
              </a:graphicData>
            </a:graphic>
          </wp:inline>
        </w:drawing>
      </w:r>
    </w:p>
    <w:p/>
    <w:p>
      <w:r>
        <w:rPr>
          <w:rFonts w:hint="eastAsia"/>
          <w:lang w:val="en-US" w:eastAsia="zh-CN"/>
        </w:rPr>
        <w:t>开标大厅中结束后，代理机构进入评标系统，进行系统抽取、作评标准备等，评委在评标系统中进行评审。</w:t>
      </w:r>
    </w:p>
    <w:p/>
    <w:p>
      <w:pP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pPr>
        <w:numPr>
          <w:ilvl w:val="0"/>
          <w:numId w:val="1"/>
        </w:numPr>
        <w:ind w:left="0" w:leftChars="0" w:firstLine="0" w:firstLineChars="0"/>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其他功能</w:t>
      </w:r>
    </w:p>
    <w:p>
      <w:pPr>
        <w:numPr>
          <w:ilvl w:val="1"/>
          <w:numId w:val="5"/>
        </w:numPr>
        <w:ind w:left="567" w:leftChars="0" w:hanging="567" w:firstLineChars="0"/>
        <w:rPr>
          <w:rFonts w:hint="default"/>
          <w:lang w:val="en-US" w:eastAsia="zh-CN"/>
        </w:rPr>
      </w:pPr>
      <w:r>
        <w:rPr>
          <w:rFonts w:hint="eastAsia"/>
          <w:lang w:val="en-US" w:eastAsia="zh-CN"/>
        </w:rPr>
        <w:t>异议查看与回复</w:t>
      </w:r>
    </w:p>
    <w:p>
      <w:pPr>
        <w:numPr>
          <w:ilvl w:val="0"/>
          <w:numId w:val="0"/>
        </w:numPr>
        <w:ind w:leftChars="0"/>
        <w:rPr>
          <w:rFonts w:hint="default"/>
          <w:lang w:val="en-US" w:eastAsia="zh-CN"/>
        </w:rPr>
      </w:pPr>
      <w:r>
        <w:rPr>
          <w:rFonts w:hint="eastAsia"/>
          <w:lang w:val="en-US" w:eastAsia="zh-CN"/>
        </w:rPr>
        <w:t>若有投标人在线提交异议，代理机构可以点击查看，并在线回复</w:t>
      </w:r>
    </w:p>
    <w:p>
      <w:pPr>
        <w:numPr>
          <w:ilvl w:val="0"/>
          <w:numId w:val="0"/>
        </w:numPr>
        <w:ind w:leftChars="0"/>
      </w:pPr>
      <w:r>
        <w:drawing>
          <wp:inline distT="0" distB="0" distL="114300" distR="114300">
            <wp:extent cx="5266690" cy="3990975"/>
            <wp:effectExtent l="0" t="0" r="6350" b="19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4"/>
                    <a:stretch>
                      <a:fillRect/>
                    </a:stretch>
                  </pic:blipFill>
                  <pic:spPr>
                    <a:xfrm>
                      <a:off x="0" y="0"/>
                      <a:ext cx="5266690" cy="3990975"/>
                    </a:xfrm>
                    <a:prstGeom prst="rect">
                      <a:avLst/>
                    </a:prstGeom>
                    <a:noFill/>
                    <a:ln>
                      <a:noFill/>
                    </a:ln>
                  </pic:spPr>
                </pic:pic>
              </a:graphicData>
            </a:graphic>
          </wp:inline>
        </w:drawing>
      </w:r>
    </w:p>
    <w:p>
      <w:pPr>
        <w:numPr>
          <w:ilvl w:val="0"/>
          <w:numId w:val="0"/>
        </w:numPr>
        <w:ind w:leftChars="0"/>
      </w:pPr>
      <w:r>
        <w:drawing>
          <wp:inline distT="0" distB="0" distL="114300" distR="114300">
            <wp:extent cx="5270500" cy="2799715"/>
            <wp:effectExtent l="0" t="0" r="2540" b="444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5"/>
                    <a:stretch>
                      <a:fillRect/>
                    </a:stretch>
                  </pic:blipFill>
                  <pic:spPr>
                    <a:xfrm>
                      <a:off x="0" y="0"/>
                      <a:ext cx="5270500" cy="2799715"/>
                    </a:xfrm>
                    <a:prstGeom prst="rect">
                      <a:avLst/>
                    </a:prstGeom>
                    <a:noFill/>
                    <a:ln>
                      <a:noFill/>
                    </a:ln>
                  </pic:spPr>
                </pic:pic>
              </a:graphicData>
            </a:graphic>
          </wp:inline>
        </w:drawing>
      </w:r>
    </w:p>
    <w:p>
      <w:pPr>
        <w:numPr>
          <w:ilvl w:val="0"/>
          <w:numId w:val="0"/>
        </w:numPr>
        <w:ind w:leftChars="0"/>
        <w:rPr>
          <w:rFonts w:hint="default"/>
          <w:lang w:val="en-US" w:eastAsia="zh-CN"/>
        </w:rPr>
      </w:pPr>
    </w:p>
    <w:p>
      <w:pPr>
        <w:numPr>
          <w:ilvl w:val="1"/>
          <w:numId w:val="5"/>
        </w:numPr>
        <w:ind w:left="567" w:leftChars="0" w:hanging="567" w:firstLineChars="0"/>
        <w:rPr>
          <w:rFonts w:hint="default"/>
          <w:lang w:val="en-US" w:eastAsia="zh-CN"/>
        </w:rPr>
      </w:pPr>
      <w:r>
        <w:rPr>
          <w:rFonts w:hint="eastAsia"/>
          <w:lang w:val="en-US" w:eastAsia="zh-CN"/>
        </w:rPr>
        <w:t>群聊与私聊</w:t>
      </w:r>
    </w:p>
    <w:p>
      <w:pPr>
        <w:rPr>
          <w:rFonts w:hint="eastAsia"/>
          <w:lang w:val="en-US" w:eastAsia="zh-CN"/>
        </w:rPr>
      </w:pPr>
      <w:r>
        <w:rPr>
          <w:rFonts w:hint="eastAsia"/>
          <w:lang w:val="en-US" w:eastAsia="zh-CN"/>
        </w:rPr>
        <w:t>若代理机构开启了群聊或私聊功能，则各交易主体可在线进行文字交流。</w:t>
      </w:r>
    </w:p>
    <w:p>
      <w:pPr>
        <w:rPr>
          <w:rFonts w:hint="eastAsia"/>
          <w:lang w:val="en-US" w:eastAsia="zh-CN"/>
        </w:rPr>
      </w:pPr>
      <w:r>
        <w:drawing>
          <wp:inline distT="0" distB="0" distL="114300" distR="114300">
            <wp:extent cx="5271770" cy="2456180"/>
            <wp:effectExtent l="0" t="0" r="1270" b="1270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6"/>
                    <a:stretch>
                      <a:fillRect/>
                    </a:stretch>
                  </pic:blipFill>
                  <pic:spPr>
                    <a:xfrm>
                      <a:off x="0" y="0"/>
                      <a:ext cx="5271770" cy="2456180"/>
                    </a:xfrm>
                    <a:prstGeom prst="rect">
                      <a:avLst/>
                    </a:prstGeom>
                    <a:noFill/>
                    <a:ln>
                      <a:noFill/>
                    </a:ln>
                  </pic:spPr>
                </pic:pic>
              </a:graphicData>
            </a:graphic>
          </wp:inline>
        </w:drawing>
      </w:r>
    </w:p>
    <w:p>
      <w:pPr>
        <w:rPr>
          <w:rFonts w:hint="default"/>
          <w:lang w:val="en-US" w:eastAsia="zh-CN"/>
        </w:rPr>
      </w:pPr>
      <w:r>
        <w:drawing>
          <wp:inline distT="0" distB="0" distL="114300" distR="114300">
            <wp:extent cx="5270500" cy="409130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0500" cy="4091305"/>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r>
        <w:rPr>
          <w:sz w:val="21"/>
        </w:rPr>
        <mc:AlternateContent>
          <mc:Choice Requires="wps">
            <w:drawing>
              <wp:anchor distT="0" distB="0" distL="114300" distR="114300" simplePos="0" relativeHeight="251659264" behindDoc="0" locked="0" layoutInCell="1" allowOverlap="1">
                <wp:simplePos x="0" y="0"/>
                <wp:positionH relativeFrom="column">
                  <wp:posOffset>-41275</wp:posOffset>
                </wp:positionH>
                <wp:positionV relativeFrom="paragraph">
                  <wp:posOffset>519430</wp:posOffset>
                </wp:positionV>
                <wp:extent cx="5494020" cy="5713095"/>
                <wp:effectExtent l="0" t="0" r="7620" b="1905"/>
                <wp:wrapNone/>
                <wp:docPr id="36" name="文本框 36"/>
                <wp:cNvGraphicFramePr/>
                <a:graphic xmlns:a="http://schemas.openxmlformats.org/drawingml/2006/main">
                  <a:graphicData uri="http://schemas.microsoft.com/office/word/2010/wordprocessingShape">
                    <wps:wsp>
                      <wps:cNvSpPr txBox="1"/>
                      <wps:spPr>
                        <a:xfrm>
                          <a:off x="0" y="0"/>
                          <a:ext cx="5494020" cy="5713095"/>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相关提示</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各招标人（代理机构）：</w:t>
                            </w:r>
                          </w:p>
                          <w:p>
                            <w:pPr>
                              <w:ind w:left="0" w:leftChars="0" w:firstLine="640" w:firstLineChars="0"/>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近期因 CA 数字证书遗失、损坏、更换、续期等补办后未进行相</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应操作，影响了开标、投标、评标活动的正常进行，现将有关事项温</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馨提示如下：</w:t>
                            </w:r>
                          </w:p>
                          <w:p>
                            <w:pPr>
                              <w:ind w:left="0" w:leftChars="0" w:firstLine="640" w:firstLineChars="0"/>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一、招标人（代理机构）应妥善保管 CA 数字证书，由于招标文件上传和开标时投标文件解密均须用同一把 CA 数字证书介质，因此当出现 CA 数字证书遗失、损坏、更换、续期等情况都会导致无法开、评标。</w:t>
                            </w:r>
                          </w:p>
                          <w:p>
                            <w:pPr>
                              <w:ind w:left="0" w:leftChars="0" w:firstLine="640" w:firstLineChars="0"/>
                              <w:rPr>
                                <w:rFonts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二、如果出现“CA 数字证书到期后重新续期、CA 数字证书因遗失、损坏、企业信息变更等”情况时，招标人（代理机构）应当仔细梳理原 CA 数字证书发布的在开标时间之前的所有招标公告、招标文件，用新领取的 CA 数字证书在开标时间之前，通过省平台“答疑变更”重新生成招标文件并上传。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40.9pt;height:449.85pt;width:432.6pt;z-index:251659264;mso-width-relative:page;mso-height-relative:page;" fillcolor="#F2F2F2 [3052]" filled="t" stroked="f" coordsize="21600,21600" o:gfxdata="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Je7HdUAAAAJAQAADwAAAAAAAAABACAAAAAiAAAAZHJzL2Rvd25yZXYueG1sUEsBAhQAFAAA&#10;AAgAh07iQLXdXVBkAgAAtAQAAA4AAAAAAAAAAQAgAAAAJAEAAGRycy9lMm9Eb2MueG1sUEsFBgAA&#10;AAAGAAYAWQEAAPoFAAAAAA==&#10;">
                <v:fill on="t" focussize="0,0"/>
                <v:stroke on="f" weight="0.5pt"/>
                <v:imagedata o:title=""/>
                <o:lock v:ext="edit" aspectratio="f"/>
                <v:textbox>
                  <w:txbxContent>
                    <w:p>
                      <w:pPr>
                        <w:jc w:val="cente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相关提示</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各招标人（代理机构）：</w:t>
                      </w:r>
                    </w:p>
                    <w:p>
                      <w:pPr>
                        <w:ind w:left="0" w:leftChars="0" w:firstLine="640" w:firstLineChars="0"/>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近期因 CA 数字证书遗失、损坏、更换、续期等补办后未进行相</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应操作，影响了开标、投标、评标活动的正常进行，现将有关事项温</w:t>
                      </w:r>
                    </w:p>
                    <w:p>
                      <w:pPr>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馨提示如下：</w:t>
                      </w:r>
                    </w:p>
                    <w:p>
                      <w:pPr>
                        <w:ind w:left="0" w:leftChars="0" w:firstLine="640" w:firstLineChars="0"/>
                        <w:rPr>
                          <w:rFonts w:hint="eastAsia"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一、招标人（代理机构）应妥善保管 CA 数字证书，由于招标文件上传和开标时投标文件解密均须用同一把 CA 数字证书介质，因此当出现 CA 数字证书遗失、损坏、更换、续期等情况都会导致无法开、评标。</w:t>
                      </w:r>
                    </w:p>
                    <w:p>
                      <w:pPr>
                        <w:ind w:left="0" w:leftChars="0" w:firstLine="640" w:firstLineChars="0"/>
                        <w:rPr>
                          <w:rFonts w:ascii="仿宋_GB2312" w:hAnsi="仿宋_GB2312" w:eastAsia="仿宋_GB2312" w:cs="仿宋_GB2312"/>
                          <w:color w:val="FF0000"/>
                          <w:kern w:val="0"/>
                          <w:sz w:val="28"/>
                          <w:szCs w:val="28"/>
                          <w:lang w:val="en-US" w:eastAsia="zh-CN" w:bidi="ar"/>
                        </w:rPr>
                      </w:pPr>
                      <w:r>
                        <w:rPr>
                          <w:rFonts w:hint="eastAsia" w:ascii="仿宋_GB2312" w:hAnsi="仿宋_GB2312" w:eastAsia="仿宋_GB2312" w:cs="仿宋_GB2312"/>
                          <w:color w:val="FF0000"/>
                          <w:kern w:val="0"/>
                          <w:sz w:val="28"/>
                          <w:szCs w:val="28"/>
                          <w:lang w:val="en-US" w:eastAsia="zh-CN" w:bidi="ar"/>
                        </w:rPr>
                        <w:t>二、如果出现“CA 数字证书到期后重新续期、CA 数字证书因遗失、损坏、企业信息变更等”情况时，招标人（代理机构）应当仔细梳理原 CA 数字证书发布的在开标时间之前的所有招标公告、招标文件，用新领取的 CA 数字证书在开标时间之前，通过省平台“答疑变更”重新生成招标文件并上传。</w:t>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75ED6D"/>
    <w:multiLevelType w:val="multilevel"/>
    <w:tmpl w:val="C075ED6D"/>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
    <w:nsid w:val="CD9CB190"/>
    <w:multiLevelType w:val="multilevel"/>
    <w:tmpl w:val="CD9CB190"/>
    <w:lvl w:ilvl="0" w:tentative="0">
      <w:start w:val="3"/>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FACD8BD"/>
    <w:multiLevelType w:val="singleLevel"/>
    <w:tmpl w:val="CFACD8BD"/>
    <w:lvl w:ilvl="0" w:tentative="0">
      <w:start w:val="1"/>
      <w:numFmt w:val="decimal"/>
      <w:suff w:val="nothing"/>
      <w:lvlText w:val="%1）"/>
      <w:lvlJc w:val="left"/>
    </w:lvl>
  </w:abstractNum>
  <w:abstractNum w:abstractNumId="3">
    <w:nsid w:val="26F91488"/>
    <w:multiLevelType w:val="multilevel"/>
    <w:tmpl w:val="26F91488"/>
    <w:lvl w:ilvl="0" w:tentative="0">
      <w:start w:val="1"/>
      <w:numFmt w:val="decimal"/>
      <w:lvlText w:val="%1."/>
      <w:lvlJc w:val="left"/>
      <w:pPr>
        <w:tabs>
          <w:tab w:val="left" w:pos="312"/>
        </w:tabs>
        <w:ind w:left="0" w:leftChars="0" w:firstLine="0" w:firstLineChars="0"/>
      </w:pPr>
      <w:rPr>
        <w:rFonts w:hint="default"/>
      </w:rPr>
    </w:lvl>
    <w:lvl w:ilvl="1" w:tentative="0">
      <w:start w:val="1"/>
      <w:numFmt w:val="decimal"/>
      <w:lvlText w:val="%1.%2."/>
      <w:lvlJc w:val="left"/>
      <w:pPr>
        <w:tabs>
          <w:tab w:val="left" w:pos="312"/>
        </w:tabs>
        <w:ind w:left="0" w:leftChars="0" w:firstLine="0" w:firstLineChars="0"/>
      </w:pPr>
      <w:rPr>
        <w:rFonts w:hint="default"/>
      </w:rPr>
    </w:lvl>
    <w:lvl w:ilvl="2" w:tentative="0">
      <w:start w:val="1"/>
      <w:numFmt w:val="decimal"/>
      <w:lvlText w:val="%1.%2.%3."/>
      <w:lvlJc w:val="left"/>
      <w:pPr>
        <w:tabs>
          <w:tab w:val="left" w:pos="312"/>
        </w:tabs>
        <w:ind w:left="0" w:leftChars="0" w:firstLine="0" w:firstLineChars="0"/>
      </w:pPr>
      <w:rPr>
        <w:rFonts w:hint="default"/>
      </w:rPr>
    </w:lvl>
    <w:lvl w:ilvl="3" w:tentative="0">
      <w:start w:val="1"/>
      <w:numFmt w:val="decimal"/>
      <w:lvlText w:val="%1.%2.%3.%4."/>
      <w:lvlJc w:val="left"/>
      <w:pPr>
        <w:tabs>
          <w:tab w:val="left" w:pos="312"/>
        </w:tabs>
        <w:ind w:left="0" w:leftChars="0" w:firstLine="0" w:firstLineChars="0"/>
      </w:pPr>
      <w:rPr>
        <w:rFonts w:hint="default"/>
      </w:rPr>
    </w:lvl>
    <w:lvl w:ilvl="4" w:tentative="0">
      <w:start w:val="1"/>
      <w:numFmt w:val="decimal"/>
      <w:lvlText w:val="%1.%2.%3.%4.%5."/>
      <w:lvlJc w:val="left"/>
      <w:pPr>
        <w:tabs>
          <w:tab w:val="left" w:pos="312"/>
        </w:tabs>
        <w:ind w:left="0" w:leftChars="0" w:firstLine="0" w:firstLineChars="0"/>
      </w:pPr>
      <w:rPr>
        <w:rFonts w:hint="default"/>
      </w:rPr>
    </w:lvl>
    <w:lvl w:ilvl="5" w:tentative="0">
      <w:start w:val="1"/>
      <w:numFmt w:val="decimal"/>
      <w:lvlText w:val="%1.%2.%3.%4.%5.%6."/>
      <w:lvlJc w:val="left"/>
      <w:pPr>
        <w:tabs>
          <w:tab w:val="left" w:pos="312"/>
        </w:tabs>
        <w:ind w:left="0" w:leftChars="0" w:firstLine="0" w:firstLineChars="0"/>
      </w:pPr>
      <w:rPr>
        <w:rFonts w:hint="default"/>
      </w:rPr>
    </w:lvl>
    <w:lvl w:ilvl="6" w:tentative="0">
      <w:start w:val="1"/>
      <w:numFmt w:val="decimal"/>
      <w:lvlText w:val="%1.%2.%3.%4.%5.%6.%7."/>
      <w:lvlJc w:val="left"/>
      <w:pPr>
        <w:tabs>
          <w:tab w:val="left" w:pos="312"/>
        </w:tabs>
        <w:ind w:left="0" w:leftChars="0" w:firstLine="0" w:firstLineChars="0"/>
      </w:pPr>
      <w:rPr>
        <w:rFonts w:hint="default"/>
      </w:rPr>
    </w:lvl>
    <w:lvl w:ilvl="7" w:tentative="0">
      <w:start w:val="1"/>
      <w:numFmt w:val="decimal"/>
      <w:lvlText w:val="%1.%2.%3.%4.%5.%6.%7.%8."/>
      <w:lvlJc w:val="left"/>
      <w:pPr>
        <w:tabs>
          <w:tab w:val="left" w:pos="312"/>
        </w:tabs>
        <w:ind w:left="0" w:leftChars="0" w:firstLine="0" w:firstLineChars="0"/>
      </w:pPr>
      <w:rPr>
        <w:rFonts w:hint="default"/>
      </w:rPr>
    </w:lvl>
    <w:lvl w:ilvl="8" w:tentative="0">
      <w:start w:val="1"/>
      <w:numFmt w:val="decimal"/>
      <w:lvlText w:val="%1.%2.%3.%4.%5.%6.%7.%8.%9."/>
      <w:lvlJc w:val="left"/>
      <w:pPr>
        <w:tabs>
          <w:tab w:val="left" w:pos="312"/>
        </w:tabs>
        <w:ind w:left="0" w:leftChars="0" w:firstLine="0" w:firstLineChars="0"/>
      </w:pPr>
      <w:rPr>
        <w:rFonts w:hint="default"/>
      </w:rPr>
    </w:lvl>
  </w:abstractNum>
  <w:abstractNum w:abstractNumId="4">
    <w:nsid w:val="2EFBFE04"/>
    <w:multiLevelType w:val="multilevel"/>
    <w:tmpl w:val="2EFBFE04"/>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5YmVjMWFlZWU2OTk0N2E3MGQwMGMxMTc3Y2M1NjUifQ=="/>
  </w:docVars>
  <w:rsids>
    <w:rsidRoot w:val="375E0130"/>
    <w:rsid w:val="01F55459"/>
    <w:rsid w:val="03CE5F43"/>
    <w:rsid w:val="06783B25"/>
    <w:rsid w:val="0709414D"/>
    <w:rsid w:val="08706B83"/>
    <w:rsid w:val="09732F58"/>
    <w:rsid w:val="0A981059"/>
    <w:rsid w:val="0BAB4DCA"/>
    <w:rsid w:val="0D5010E1"/>
    <w:rsid w:val="0D556BD5"/>
    <w:rsid w:val="0F5237D2"/>
    <w:rsid w:val="12836572"/>
    <w:rsid w:val="137F7E6F"/>
    <w:rsid w:val="14164D9C"/>
    <w:rsid w:val="15C60986"/>
    <w:rsid w:val="15F958D1"/>
    <w:rsid w:val="17321A57"/>
    <w:rsid w:val="192429DA"/>
    <w:rsid w:val="1B58146F"/>
    <w:rsid w:val="1BAD6C9E"/>
    <w:rsid w:val="1D39792A"/>
    <w:rsid w:val="20EF2E85"/>
    <w:rsid w:val="25D80DBB"/>
    <w:rsid w:val="26A24E49"/>
    <w:rsid w:val="2ACB72AC"/>
    <w:rsid w:val="2B613601"/>
    <w:rsid w:val="2F3C2620"/>
    <w:rsid w:val="37324A70"/>
    <w:rsid w:val="375E0130"/>
    <w:rsid w:val="37783FC2"/>
    <w:rsid w:val="395B3A82"/>
    <w:rsid w:val="3D712228"/>
    <w:rsid w:val="3F9D66A3"/>
    <w:rsid w:val="45D25D77"/>
    <w:rsid w:val="45F50E0B"/>
    <w:rsid w:val="476152FA"/>
    <w:rsid w:val="4E5746C4"/>
    <w:rsid w:val="546463D8"/>
    <w:rsid w:val="56C7782C"/>
    <w:rsid w:val="58A551CA"/>
    <w:rsid w:val="59712ECE"/>
    <w:rsid w:val="5B710F66"/>
    <w:rsid w:val="5C000AA2"/>
    <w:rsid w:val="5C5C6B79"/>
    <w:rsid w:val="5D227A80"/>
    <w:rsid w:val="5F881C77"/>
    <w:rsid w:val="61642270"/>
    <w:rsid w:val="6167178A"/>
    <w:rsid w:val="63181501"/>
    <w:rsid w:val="635161D8"/>
    <w:rsid w:val="68E40FDA"/>
    <w:rsid w:val="6A072723"/>
    <w:rsid w:val="6D754F28"/>
    <w:rsid w:val="70576D06"/>
    <w:rsid w:val="70AB487B"/>
    <w:rsid w:val="71261FA8"/>
    <w:rsid w:val="72263A65"/>
    <w:rsid w:val="731C0BFD"/>
    <w:rsid w:val="77AB3A64"/>
    <w:rsid w:val="77B44FFD"/>
    <w:rsid w:val="79BB5849"/>
    <w:rsid w:val="79E47A53"/>
    <w:rsid w:val="79F52F60"/>
    <w:rsid w:val="7E3C03A5"/>
    <w:rsid w:val="7F5819C8"/>
    <w:rsid w:val="7FD84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1063</Words>
  <Characters>1111</Characters>
  <Lines>0</Lines>
  <Paragraphs>0</Paragraphs>
  <TotalTime>4</TotalTime>
  <ScaleCrop>false</ScaleCrop>
  <LinksUpToDate>false</LinksUpToDate>
  <CharactersWithSpaces>1117</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2022-07-05T07:51:00Z</dcterms:created>
  <dc:creator>谢金龙</dc:creator>
  <cp:lastModifiedBy>NL</cp:lastModifiedBy>
  <dcterms:modified xsi:type="dcterms:W3CDTF">2023-04-03T03:34:11Z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02540DA45BB540A8A55826FC67F7E6E5</vt:lpwstr>
  </property>
</Properties>
</file>