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  <w:bookmarkStart w:id="2" w:name="_GoBack"/>
      <w:bookmarkEnd w:id="2"/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4"/>
        <w:rPr>
          <w:rFonts w:ascii="Times New Roman"/>
          <w:sz w:val="25"/>
        </w:rPr>
      </w:pPr>
    </w:p>
    <w:p>
      <w:pPr>
        <w:spacing w:before="0" w:line="813" w:lineRule="exact"/>
        <w:ind w:left="1588" w:right="2125" w:firstLine="0"/>
        <w:jc w:val="center"/>
        <w:rPr>
          <w:rFonts w:hint="eastAsia" w:ascii="Microsoft YaHei UI" w:eastAsia="Microsoft YaHei UI"/>
          <w:b/>
          <w:spacing w:val="15"/>
          <w:w w:val="100"/>
          <w:sz w:val="52"/>
        </w:rPr>
      </w:pPr>
      <w:r>
        <w:rPr>
          <w:rFonts w:hint="eastAsia" w:ascii="Microsoft YaHei UI" w:eastAsia="Microsoft YaHei UI"/>
          <w:b/>
          <w:sz w:val="52"/>
        </w:rPr>
        <w:t>青海电子招标投标公共服务平台</w:t>
      </w:r>
      <w:r>
        <w:rPr>
          <w:rFonts w:hint="eastAsia" w:ascii="Microsoft YaHei UI" w:eastAsia="Microsoft YaHei UI"/>
          <w:b/>
          <w:spacing w:val="15"/>
          <w:w w:val="100"/>
          <w:sz w:val="52"/>
        </w:rPr>
        <w:t>评标系统</w:t>
      </w:r>
    </w:p>
    <w:p>
      <w:pPr>
        <w:spacing w:before="0" w:line="813" w:lineRule="exact"/>
        <w:ind w:left="1588" w:right="2125" w:firstLine="0"/>
        <w:jc w:val="center"/>
        <w:rPr>
          <w:rFonts w:hint="eastAsia" w:ascii="Microsoft YaHei UI" w:eastAsia="Microsoft YaHei UI"/>
          <w:b/>
          <w:sz w:val="52"/>
          <w:lang w:eastAsia="zh-CN"/>
        </w:rPr>
      </w:pPr>
      <w:r>
        <w:rPr>
          <w:rFonts w:hint="eastAsia" w:ascii="Microsoft YaHei UI" w:eastAsia="Microsoft YaHei UI"/>
          <w:b/>
          <w:spacing w:val="15"/>
          <w:w w:val="100"/>
          <w:sz w:val="52"/>
          <w:lang w:val="en-US" w:eastAsia="zh-CN"/>
        </w:rPr>
        <w:t xml:space="preserve">  </w:t>
      </w:r>
      <w:r>
        <w:rPr>
          <w:rFonts w:hint="eastAsia" w:ascii="Microsoft YaHei UI" w:eastAsia="Microsoft YaHei UI"/>
          <w:b/>
          <w:spacing w:val="15"/>
          <w:w w:val="100"/>
          <w:sz w:val="52"/>
        </w:rPr>
        <w:t>操作手册</w:t>
      </w:r>
      <w:r>
        <w:rPr>
          <w:rFonts w:hint="eastAsia" w:ascii="Microsoft YaHei UI" w:eastAsia="Microsoft YaHei UI"/>
          <w:b/>
          <w:spacing w:val="15"/>
          <w:w w:val="100"/>
          <w:sz w:val="52"/>
          <w:lang w:eastAsia="zh-CN"/>
        </w:rPr>
        <w:t>（</w:t>
      </w:r>
      <w:r>
        <w:rPr>
          <w:rFonts w:hint="eastAsia" w:ascii="Microsoft YaHei UI" w:eastAsia="Microsoft YaHei UI"/>
          <w:b/>
          <w:spacing w:val="15"/>
          <w:w w:val="100"/>
          <w:sz w:val="52"/>
          <w:lang w:val="en-US" w:eastAsia="zh-CN"/>
        </w:rPr>
        <w:t>代理机构</w:t>
      </w:r>
      <w:r>
        <w:rPr>
          <w:rFonts w:hint="eastAsia" w:ascii="Microsoft YaHei UI" w:eastAsia="Microsoft YaHei UI"/>
          <w:b/>
          <w:spacing w:val="15"/>
          <w:w w:val="100"/>
          <w:sz w:val="52"/>
          <w:lang w:eastAsia="zh-CN"/>
        </w:rPr>
        <w:t>）</w:t>
      </w:r>
    </w:p>
    <w:p>
      <w:pPr>
        <w:pStyle w:val="4"/>
        <w:rPr>
          <w:rFonts w:ascii="Microsoft YaHei UI"/>
          <w:b/>
          <w:sz w:val="52"/>
        </w:rPr>
      </w:pPr>
    </w:p>
    <w:p>
      <w:pPr>
        <w:pStyle w:val="4"/>
        <w:rPr>
          <w:rFonts w:ascii="Microsoft YaHei UI"/>
          <w:b/>
          <w:sz w:val="52"/>
        </w:rPr>
      </w:pPr>
    </w:p>
    <w:p>
      <w:pPr>
        <w:pStyle w:val="4"/>
        <w:rPr>
          <w:rFonts w:ascii="Microsoft YaHei UI"/>
          <w:b/>
          <w:sz w:val="52"/>
        </w:rPr>
      </w:pPr>
    </w:p>
    <w:p>
      <w:pPr>
        <w:pStyle w:val="4"/>
        <w:rPr>
          <w:rFonts w:ascii="Microsoft YaHei UI"/>
          <w:b/>
          <w:sz w:val="52"/>
        </w:rPr>
      </w:pPr>
    </w:p>
    <w:p>
      <w:pPr>
        <w:pStyle w:val="4"/>
        <w:rPr>
          <w:rFonts w:ascii="Microsoft YaHei UI"/>
          <w:b/>
          <w:sz w:val="52"/>
        </w:rPr>
      </w:pPr>
    </w:p>
    <w:p>
      <w:pPr>
        <w:pStyle w:val="4"/>
        <w:rPr>
          <w:rFonts w:ascii="Microsoft YaHei UI"/>
          <w:b/>
          <w:sz w:val="52"/>
        </w:rPr>
      </w:pPr>
    </w:p>
    <w:p>
      <w:pPr>
        <w:pStyle w:val="4"/>
        <w:spacing w:before="10"/>
        <w:rPr>
          <w:rFonts w:ascii="Microsoft YaHei UI"/>
          <w:b/>
          <w:sz w:val="57"/>
        </w:rPr>
      </w:pPr>
    </w:p>
    <w:p>
      <w:pPr>
        <w:spacing w:before="0"/>
        <w:ind w:left="1588" w:right="2125" w:firstLine="0"/>
        <w:jc w:val="center"/>
        <w:rPr>
          <w:rFonts w:hint="eastAsia" w:ascii="Microsoft YaHei UI" w:eastAsia="Microsoft YaHei UI"/>
          <w:b/>
          <w:sz w:val="52"/>
        </w:rPr>
      </w:pPr>
      <w:r>
        <w:rPr>
          <w:rFonts w:hint="eastAsia" w:ascii="Microsoft YaHei UI" w:eastAsia="Microsoft YaHei UI"/>
          <w:b/>
          <w:w w:val="90"/>
          <w:sz w:val="52"/>
        </w:rPr>
        <w:t>202</w:t>
      </w:r>
      <w:r>
        <w:rPr>
          <w:rFonts w:hint="eastAsia" w:ascii="Microsoft YaHei UI" w:eastAsia="Microsoft YaHei UI"/>
          <w:b/>
          <w:w w:val="90"/>
          <w:sz w:val="52"/>
          <w:lang w:val="en-US" w:eastAsia="zh-CN"/>
        </w:rPr>
        <w:t>3</w:t>
      </w:r>
      <w:r>
        <w:rPr>
          <w:rFonts w:hint="eastAsia" w:ascii="Microsoft YaHei UI" w:eastAsia="Microsoft YaHei UI"/>
          <w:b/>
          <w:spacing w:val="-12"/>
          <w:w w:val="90"/>
          <w:sz w:val="52"/>
        </w:rPr>
        <w:t xml:space="preserve">年 </w:t>
      </w:r>
      <w:r>
        <w:rPr>
          <w:rFonts w:hint="eastAsia" w:ascii="Microsoft YaHei UI" w:eastAsia="Microsoft YaHei UI"/>
          <w:b/>
          <w:spacing w:val="-12"/>
          <w:w w:val="90"/>
          <w:sz w:val="52"/>
          <w:lang w:val="en-US" w:eastAsia="zh-CN"/>
        </w:rPr>
        <w:t>7</w:t>
      </w:r>
      <w:r>
        <w:rPr>
          <w:rFonts w:hint="eastAsia" w:ascii="Microsoft YaHei UI" w:eastAsia="Microsoft YaHei UI"/>
          <w:b/>
          <w:spacing w:val="-7"/>
          <w:w w:val="90"/>
          <w:sz w:val="52"/>
        </w:rPr>
        <w:t>月</w:t>
      </w:r>
    </w:p>
    <w:p>
      <w:pPr>
        <w:spacing w:after="0"/>
        <w:jc w:val="center"/>
        <w:rPr>
          <w:rFonts w:hint="eastAsia" w:ascii="Microsoft YaHei UI" w:eastAsia="Microsoft YaHei UI"/>
          <w:sz w:val="52"/>
        </w:rPr>
        <w:sectPr>
          <w:type w:val="continuous"/>
          <w:pgSz w:w="11910" w:h="16840"/>
          <w:pgMar w:top="1580" w:right="1140" w:bottom="280" w:left="1680" w:header="720" w:footer="720" w:gutter="0"/>
          <w:cols w:space="720" w:num="1"/>
        </w:sectPr>
      </w:pPr>
    </w:p>
    <w:p>
      <w:pPr>
        <w:pStyle w:val="4"/>
        <w:spacing w:before="8"/>
        <w:rPr>
          <w:rFonts w:ascii="Microsoft YaHei UI"/>
          <w:b/>
          <w:sz w:val="12"/>
        </w:rPr>
      </w:pPr>
    </w:p>
    <w:p>
      <w:pPr>
        <w:tabs>
          <w:tab w:val="left" w:pos="5925"/>
        </w:tabs>
        <w:spacing w:before="75" w:after="19"/>
        <w:ind w:right="0"/>
        <w:jc w:val="left"/>
        <w:rPr>
          <w:rFonts w:ascii="Calibri" w:eastAsia="Calibri"/>
          <w:sz w:val="18"/>
        </w:rPr>
      </w:pPr>
      <w:r>
        <w:rPr>
          <w:sz w:val="18"/>
        </w:rPr>
        <w:tab/>
      </w:r>
      <w:r>
        <w:rPr>
          <w:rFonts w:hint="eastAsia"/>
          <w:sz w:val="18"/>
        </w:rPr>
        <w:t>青海电子招标投标公共服务平台</w:t>
      </w:r>
      <w:r>
        <w:rPr>
          <w:spacing w:val="90"/>
          <w:sz w:val="18"/>
        </w:rPr>
        <w:t xml:space="preserve"> </w:t>
      </w:r>
    </w:p>
    <w:p>
      <w:pPr>
        <w:pStyle w:val="4"/>
        <w:spacing w:line="86" w:lineRule="exact"/>
        <w:ind w:left="120"/>
        <w:rPr>
          <w:sz w:val="20"/>
        </w:rPr>
      </w:pPr>
      <w:r>
        <w:rPr>
          <w:rFonts w:ascii="Calibri"/>
          <w:position w:val="-1"/>
          <w:sz w:val="8"/>
        </w:rPr>
        <w:pict>
          <v:group id="_x0000_s1026" o:spid="_x0000_s1026" o:spt="203" style="height:4.35pt;width:415.3pt;" coordsize="8306,87">
            <o:lock v:ext="edit"/>
            <v:shape id="_x0000_s1027" o:spid="_x0000_s1027" style="position:absolute;left:0;top:0;height:87;width:8306;" fillcolor="#612322" filled="t" stroked="f" coordsize="8306,87" path="m8306,29l0,29,0,86,8306,86,8306,29xm8306,0l0,0,0,14,8306,14,8306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4"/>
        <w:spacing w:before="7"/>
        <w:rPr>
          <w:sz w:val="20"/>
        </w:rPr>
      </w:pPr>
    </w:p>
    <w:p>
      <w:pPr>
        <w:pStyle w:val="3"/>
        <w:spacing w:before="0" w:line="537" w:lineRule="exact"/>
      </w:pPr>
      <w:bookmarkStart w:id="0" w:name="_TOC_250008"/>
      <w:bookmarkEnd w:id="0"/>
      <w:r>
        <w:rPr>
          <w:w w:val="95"/>
        </w:rPr>
        <w:t>一、代理机构评标系统登录</w:t>
      </w:r>
    </w:p>
    <w:p>
      <w:pPr>
        <w:pStyle w:val="23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6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4" w:after="0" w:line="360" w:lineRule="auto"/>
        <w:ind w:left="119" w:right="0" w:firstLine="0"/>
        <w:jc w:val="left"/>
        <w:textAlignment w:val="auto"/>
        <w:rPr>
          <w:sz w:val="32"/>
        </w:rPr>
      </w:pPr>
      <w:r>
        <w:rPr>
          <w:w w:val="95"/>
          <w:sz w:val="32"/>
        </w:rPr>
        <w:t>打开电脑桌面，找到</w:t>
      </w:r>
      <w:r>
        <w:rPr>
          <w:spacing w:val="-11"/>
          <w:w w:val="95"/>
          <w:sz w:val="32"/>
        </w:rPr>
        <w:t xml:space="preserve"> </w:t>
      </w:r>
      <w:r>
        <w:rPr>
          <w:w w:val="99"/>
          <w:sz w:val="32"/>
        </w:rPr>
        <w:drawing>
          <wp:inline distT="0" distB="0" distL="0" distR="0">
            <wp:extent cx="732790" cy="876300"/>
            <wp:effectExtent l="0" t="0" r="381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43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  <w:sz w:val="32"/>
        </w:rPr>
        <w:t>“青海省网上开评标系统”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快捷方式。</w:t>
      </w:r>
    </w:p>
    <w:p>
      <w:pPr>
        <w:pStyle w:val="23"/>
        <w:numPr>
          <w:ilvl w:val="1"/>
          <w:numId w:val="1"/>
        </w:numPr>
        <w:tabs>
          <w:tab w:val="left" w:pos="680"/>
        </w:tabs>
        <w:spacing w:before="189" w:after="0" w:line="240" w:lineRule="auto"/>
        <w:ind w:left="679" w:right="0" w:hanging="560"/>
        <w:jc w:val="left"/>
        <w:rPr>
          <w:sz w:val="32"/>
        </w:rPr>
      </w:pPr>
      <w:r>
        <w:rPr>
          <w:sz w:val="32"/>
        </w:rPr>
        <w:t>打开后，找到“开标管理员”按钮</w:t>
      </w:r>
    </w:p>
    <w:p>
      <w:pPr>
        <w:pStyle w:val="23"/>
        <w:numPr>
          <w:ilvl w:val="0"/>
          <w:numId w:val="0"/>
        </w:numPr>
        <w:tabs>
          <w:tab w:val="left" w:pos="680"/>
        </w:tabs>
        <w:spacing w:before="189" w:after="0" w:line="240" w:lineRule="auto"/>
        <w:ind w:left="119" w:leftChars="0" w:right="0" w:rightChars="0"/>
        <w:jc w:val="left"/>
        <w:rPr>
          <w:sz w:val="32"/>
        </w:rPr>
      </w:pPr>
      <w:r>
        <w:drawing>
          <wp:inline distT="0" distB="0" distL="114300" distR="114300">
            <wp:extent cx="5767070" cy="2468880"/>
            <wp:effectExtent l="0" t="0" r="11430" b="762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707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6"/>
        <w:rPr>
          <w:sz w:val="13"/>
        </w:rPr>
      </w:pPr>
    </w:p>
    <w:p>
      <w:pPr>
        <w:pStyle w:val="23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6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4" w:after="0" w:line="360" w:lineRule="auto"/>
        <w:ind w:left="680" w:right="0" w:hanging="561"/>
        <w:jc w:val="left"/>
        <w:textAlignment w:val="auto"/>
        <w:rPr>
          <w:sz w:val="32"/>
        </w:rPr>
      </w:pPr>
      <w:r>
        <w:rPr>
          <w:w w:val="95"/>
          <w:sz w:val="32"/>
        </w:rPr>
        <w:t>在</w:t>
      </w:r>
      <w:r>
        <w:rPr>
          <w:rFonts w:hint="eastAsia"/>
          <w:w w:val="95"/>
          <w:sz w:val="32"/>
          <w:lang w:val="en-US" w:eastAsia="zh-CN"/>
        </w:rPr>
        <w:t>右侧登录方式中</w:t>
      </w:r>
      <w:r>
        <w:rPr>
          <w:w w:val="95"/>
          <w:sz w:val="32"/>
        </w:rPr>
        <w:t>选择</w:t>
      </w:r>
      <w:r>
        <w:rPr>
          <w:rFonts w:hint="eastAsia"/>
          <w:w w:val="95"/>
          <w:sz w:val="32"/>
          <w:lang w:val="en-US" w:eastAsia="zh-CN"/>
        </w:rPr>
        <w:t>CA登录</w:t>
      </w:r>
      <w:r>
        <w:rPr>
          <w:spacing w:val="1"/>
          <w:w w:val="95"/>
          <w:sz w:val="32"/>
        </w:rPr>
        <w:t xml:space="preserve">，插入 </w:t>
      </w:r>
      <w:r>
        <w:rPr>
          <w:w w:val="95"/>
          <w:sz w:val="32"/>
        </w:rPr>
        <w:t>CA 锁登录系统</w:t>
      </w:r>
    </w:p>
    <w:p>
      <w:pPr>
        <w:pStyle w:val="4"/>
        <w:spacing w:before="10"/>
        <w:rPr>
          <w:sz w:val="10"/>
        </w:rPr>
      </w:pPr>
    </w:p>
    <w:p>
      <w:pPr>
        <w:spacing w:after="0"/>
        <w:rPr>
          <w:sz w:val="10"/>
        </w:rPr>
        <w:sectPr>
          <w:footerReference r:id="rId5" w:type="default"/>
          <w:pgSz w:w="11910" w:h="16840"/>
          <w:pgMar w:top="1580" w:right="1140" w:bottom="860" w:left="1680" w:header="0" w:footer="663" w:gutter="0"/>
          <w:pgNumType w:start="1"/>
          <w:cols w:space="720" w:num="1"/>
        </w:sectPr>
      </w:pPr>
      <w:r>
        <w:drawing>
          <wp:inline distT="0" distB="0" distL="114300" distR="114300">
            <wp:extent cx="5767070" cy="2468880"/>
            <wp:effectExtent l="0" t="0" r="11430" b="762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707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sz w:val="20"/>
        </w:rPr>
      </w:pPr>
    </w:p>
    <w:p>
      <w:pPr>
        <w:pStyle w:val="23"/>
        <w:numPr>
          <w:ilvl w:val="1"/>
          <w:numId w:val="1"/>
        </w:numPr>
        <w:tabs>
          <w:tab w:val="left" w:pos="680"/>
        </w:tabs>
        <w:spacing w:before="199" w:after="0" w:line="240" w:lineRule="auto"/>
        <w:ind w:left="679" w:right="0" w:hanging="560"/>
        <w:jc w:val="left"/>
        <w:rPr>
          <w:sz w:val="32"/>
        </w:rPr>
      </w:pPr>
      <w:r>
        <w:rPr>
          <w:sz w:val="32"/>
        </w:rPr>
        <w:t>录入控制价</w:t>
      </w:r>
    </w:p>
    <w:p>
      <w:pPr>
        <w:pStyle w:val="4"/>
        <w:spacing w:before="214"/>
        <w:ind w:left="760"/>
        <w:rPr>
          <w:rFonts w:hint="eastAsia" w:eastAsia="宋体"/>
          <w:lang w:eastAsia="zh-CN"/>
        </w:rPr>
      </w:pPr>
      <w:r>
        <w:t>点击评标准备—控制价录入—输入控制价后点保存</w:t>
      </w:r>
      <w:r>
        <w:rPr>
          <w:rFonts w:hint="eastAsia"/>
          <w:lang w:eastAsia="zh-CN"/>
        </w:rPr>
        <w:t>。</w:t>
      </w:r>
    </w:p>
    <w:p>
      <w:pPr>
        <w:pStyle w:val="4"/>
        <w:spacing w:before="3"/>
        <w:rPr>
          <w:sz w:val="13"/>
        </w:rPr>
      </w:pPr>
      <w:r>
        <w:drawing>
          <wp:inline distT="0" distB="0" distL="114300" distR="114300">
            <wp:extent cx="5772150" cy="1306830"/>
            <wp:effectExtent l="0" t="0" r="6350" b="127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rcRect t="2372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3"/>
        <w:numPr>
          <w:ilvl w:val="1"/>
          <w:numId w:val="1"/>
        </w:numPr>
        <w:tabs>
          <w:tab w:val="left" w:pos="680"/>
        </w:tabs>
        <w:spacing w:before="171" w:after="0" w:line="240" w:lineRule="auto"/>
        <w:ind w:left="679" w:right="0" w:hanging="560"/>
        <w:jc w:val="left"/>
        <w:rPr>
          <w:sz w:val="32"/>
        </w:rPr>
      </w:pPr>
      <w:r>
        <w:rPr>
          <w:sz w:val="32"/>
        </w:rPr>
        <w:t>确定评委</w:t>
      </w:r>
    </w:p>
    <w:p>
      <w:pPr>
        <w:pStyle w:val="4"/>
        <w:spacing w:before="214" w:line="364" w:lineRule="auto"/>
        <w:ind w:left="120" w:right="660" w:firstLine="640"/>
      </w:pPr>
      <w:r>
        <w:rPr>
          <w:spacing w:val="12"/>
          <w:w w:val="95"/>
        </w:rPr>
        <w:t>点击评标准备——确定评委——</w:t>
      </w:r>
      <w:r>
        <w:rPr>
          <w:rFonts w:hint="eastAsia"/>
          <w:spacing w:val="12"/>
          <w:w w:val="95"/>
          <w:lang w:val="en-US" w:eastAsia="zh-CN"/>
        </w:rPr>
        <w:t>获取评委名单</w:t>
      </w:r>
      <w:r>
        <w:t>。</w:t>
      </w:r>
      <w:r>
        <w:drawing>
          <wp:inline distT="0" distB="0" distL="114300" distR="114300">
            <wp:extent cx="5768340" cy="2030095"/>
            <wp:effectExtent l="0" t="0" r="10160" b="190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3"/>
        <w:numPr>
          <w:ilvl w:val="1"/>
          <w:numId w:val="1"/>
        </w:numPr>
        <w:tabs>
          <w:tab w:val="left" w:pos="680"/>
        </w:tabs>
        <w:spacing w:before="171" w:after="0" w:line="240" w:lineRule="auto"/>
        <w:ind w:left="679" w:right="0" w:hanging="560"/>
        <w:jc w:val="left"/>
        <w:rPr>
          <w:rFonts w:hint="eastAsia"/>
          <w:sz w:val="32"/>
          <w:lang w:val="en-US" w:eastAsia="zh-CN"/>
        </w:rPr>
      </w:pPr>
      <w:r>
        <w:rPr>
          <w:sz w:val="32"/>
        </w:rPr>
        <w:t>评委类型区</w:t>
      </w:r>
      <w:r>
        <w:rPr>
          <w:rFonts w:hint="eastAsia"/>
          <w:sz w:val="32"/>
          <w:lang w:val="en-US" w:eastAsia="zh-CN"/>
        </w:rPr>
        <w:t>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4" w:after="0" w:line="360" w:lineRule="auto"/>
        <w:ind w:left="119" w:right="0" w:firstLine="641"/>
        <w:textAlignment w:val="auto"/>
        <w:rPr>
          <w:rFonts w:hint="eastAsia"/>
        </w:rPr>
      </w:pPr>
      <w:r>
        <w:rPr>
          <w:rFonts w:hint="eastAsia"/>
          <w:spacing w:val="12"/>
          <w:w w:val="95"/>
          <w:lang w:val="en-US" w:eastAsia="zh-CN"/>
        </w:rPr>
        <w:t>获取评委名单后按照系统提示，对经济、技术专家进</w:t>
      </w:r>
      <w:r>
        <w:rPr>
          <w:rFonts w:hint="eastAsia" w:ascii="宋体" w:hAnsi="宋体" w:eastAsia="宋体" w:cs="宋体"/>
          <w:sz w:val="32"/>
          <w:szCs w:val="22"/>
          <w:lang w:val="en-US" w:eastAsia="zh-CN" w:bidi="ar-SA"/>
        </w:rPr>
        <w:t>行分组（不需要区分评委类型的评标办法无提示）。</w:t>
      </w:r>
      <w:r>
        <w:drawing>
          <wp:inline distT="0" distB="0" distL="114300" distR="114300">
            <wp:extent cx="5770880" cy="2512695"/>
            <wp:effectExtent l="0" t="0" r="7620" b="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rcRect t="-2992" b="-4623"/>
                    <a:stretch>
                      <a:fillRect/>
                    </a:stretch>
                  </pic:blipFill>
                  <pic:spPr>
                    <a:xfrm>
                      <a:off x="0" y="0"/>
                      <a:ext cx="577088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评委类型区分</w:t>
      </w:r>
      <w:r>
        <w:rPr>
          <w:rFonts w:hint="eastAsia"/>
        </w:rPr>
        <w:t>操作如下：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119" w:right="0" w:firstLine="641"/>
        <w:textAlignment w:val="auto"/>
        <w:rPr>
          <w:rFonts w:hint="eastAsia"/>
        </w:rPr>
      </w:pPr>
      <w:r>
        <w:rPr>
          <w:rFonts w:hint="eastAsia"/>
        </w:rPr>
        <w:t>点击评委姓名，选择编辑，勾选相应的评委类型，点击</w:t>
      </w:r>
      <w:r>
        <w:rPr>
          <w:rFonts w:hint="eastAsia"/>
          <w:lang w:val="en-US" w:eastAsia="zh-CN"/>
        </w:rPr>
        <w:t>保存</w:t>
      </w:r>
      <w:r>
        <w:rPr>
          <w:rFonts w:hint="eastAsia"/>
        </w:rPr>
        <w:t>完成评委类型区分。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658"/>
        <w:jc w:val="center"/>
        <w:textAlignment w:val="auto"/>
      </w:pPr>
      <w:r>
        <w:drawing>
          <wp:inline distT="0" distB="0" distL="114300" distR="114300">
            <wp:extent cx="4946015" cy="2463165"/>
            <wp:effectExtent l="0" t="0" r="6985" b="63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rcRect l="201"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658"/>
        <w:jc w:val="center"/>
        <w:textAlignment w:val="auto"/>
      </w:pPr>
      <w:r>
        <w:drawing>
          <wp:inline distT="0" distB="0" distL="114300" distR="114300">
            <wp:extent cx="4908550" cy="2641600"/>
            <wp:effectExtent l="0" t="0" r="6350" b="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rcRect r="897"/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4" w:line="365" w:lineRule="auto"/>
        <w:ind w:left="119" w:right="0" w:firstLine="641"/>
        <w:textAlignment w:val="auto"/>
      </w:pPr>
      <w:r>
        <w:rPr>
          <w:w w:val="95"/>
        </w:rPr>
        <w:t>之后，</w:t>
      </w:r>
      <w:r>
        <w:rPr>
          <w:rFonts w:hint="eastAsia"/>
          <w:w w:val="95"/>
          <w:lang w:val="en-US" w:eastAsia="zh-CN"/>
        </w:rPr>
        <w:t>让评标专家使用CA锁（无CA锁的招标人代表评委由代理机构打印评委名单使用账号密码登录）登录评标系统开始评标</w:t>
      </w:r>
      <w:r>
        <w:t>，代理机构评标准备完成。</w:t>
      </w:r>
    </w:p>
    <w:p>
      <w:pPr>
        <w:pStyle w:val="4"/>
        <w:spacing w:before="54" w:line="364" w:lineRule="auto"/>
        <w:ind w:left="120" w:right="657" w:firstLine="640"/>
      </w:pPr>
    </w:p>
    <w:p>
      <w:pPr>
        <w:pStyle w:val="4"/>
        <w:spacing w:before="54" w:line="364" w:lineRule="auto"/>
        <w:ind w:left="120" w:right="657" w:firstLine="640"/>
      </w:pPr>
    </w:p>
    <w:p>
      <w:pPr>
        <w:pStyle w:val="4"/>
        <w:spacing w:before="54" w:line="364" w:lineRule="auto"/>
        <w:ind w:right="657"/>
      </w:pPr>
    </w:p>
    <w:p>
      <w:pPr>
        <w:pStyle w:val="3"/>
        <w:spacing w:before="0" w:line="537" w:lineRule="exact"/>
        <w:rPr>
          <w:rFonts w:hint="default"/>
          <w:w w:val="95"/>
          <w:lang w:val="en-US" w:eastAsia="zh-CN"/>
        </w:rPr>
      </w:pPr>
      <w:r>
        <w:rPr>
          <w:rFonts w:hint="eastAsia"/>
          <w:w w:val="95"/>
          <w:lang w:val="en-US" w:eastAsia="zh-CN"/>
        </w:rPr>
        <w:t>二、打印评标报告</w:t>
      </w:r>
    </w:p>
    <w:p>
      <w:pPr>
        <w:pStyle w:val="4"/>
        <w:spacing w:before="214" w:line="364" w:lineRule="auto"/>
        <w:ind w:right="657" w:firstLine="608" w:firstLineChars="200"/>
      </w:pPr>
      <w:r>
        <w:rPr>
          <w:rFonts w:hint="eastAsia"/>
          <w:w w:val="95"/>
          <w:lang w:val="en-US" w:eastAsia="zh-CN"/>
        </w:rPr>
        <w:t>评标委员会完成评标后代理机构</w:t>
      </w:r>
      <w:r>
        <w:rPr>
          <w:w w:val="95"/>
        </w:rPr>
        <w:t>点击进入评标报告模块，打印各评审汇总表格，</w:t>
      </w:r>
      <w:r>
        <w:t>完成本次评标</w:t>
      </w:r>
      <w:r>
        <w:rPr>
          <w:rFonts w:hint="eastAsia"/>
          <w:lang w:eastAsia="zh-CN"/>
        </w:rPr>
        <w:t>。</w:t>
      </w:r>
      <w:r>
        <w:drawing>
          <wp:inline distT="0" distB="0" distL="114300" distR="114300">
            <wp:extent cx="5767070" cy="2468880"/>
            <wp:effectExtent l="0" t="0" r="11430" b="7620"/>
            <wp:docPr id="5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707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2"/>
        <w:ind w:left="120"/>
      </w:pPr>
      <w:bookmarkStart w:id="1" w:name="_TOC_250000"/>
      <w:bookmarkEnd w:id="1"/>
    </w:p>
    <w:p>
      <w:pPr>
        <w:pStyle w:val="4"/>
        <w:spacing w:before="2"/>
        <w:ind w:left="120"/>
      </w:pPr>
    </w:p>
    <w:p>
      <w:pPr>
        <w:pStyle w:val="4"/>
        <w:spacing w:before="2"/>
        <w:ind w:left="120"/>
      </w:pPr>
    </w:p>
    <w:p>
      <w:pPr>
        <w:pStyle w:val="4"/>
        <w:spacing w:before="2"/>
        <w:ind w:left="120"/>
      </w:pPr>
    </w:p>
    <w:p>
      <w:pPr>
        <w:pStyle w:val="4"/>
        <w:spacing w:before="2"/>
        <w:ind w:left="120"/>
      </w:pPr>
    </w:p>
    <w:p>
      <w:pPr>
        <w:pStyle w:val="4"/>
        <w:spacing w:before="2"/>
        <w:ind w:left="120"/>
      </w:pPr>
    </w:p>
    <w:p>
      <w:pPr>
        <w:pStyle w:val="4"/>
        <w:spacing w:before="2"/>
        <w:ind w:left="120"/>
      </w:pPr>
    </w:p>
    <w:p>
      <w:pPr>
        <w:pStyle w:val="4"/>
        <w:spacing w:before="2"/>
        <w:ind w:left="120"/>
      </w:pPr>
    </w:p>
    <w:p>
      <w:pPr>
        <w:pStyle w:val="4"/>
        <w:spacing w:before="2"/>
        <w:ind w:left="120"/>
      </w:pPr>
    </w:p>
    <w:p>
      <w:pPr>
        <w:pStyle w:val="4"/>
        <w:spacing w:before="2"/>
        <w:ind w:left="120"/>
      </w:pPr>
    </w:p>
    <w:p>
      <w:pPr>
        <w:pStyle w:val="4"/>
        <w:spacing w:before="2"/>
        <w:ind w:left="120"/>
      </w:pPr>
    </w:p>
    <w:p>
      <w:pPr>
        <w:pStyle w:val="4"/>
        <w:spacing w:before="2"/>
        <w:ind w:left="120"/>
      </w:pPr>
    </w:p>
    <w:p>
      <w:pPr>
        <w:pStyle w:val="4"/>
        <w:spacing w:before="2"/>
        <w:ind w:left="120"/>
      </w:pPr>
    </w:p>
    <w:p>
      <w:pPr>
        <w:pStyle w:val="4"/>
        <w:spacing w:before="2"/>
        <w:ind w:left="120"/>
      </w:pPr>
    </w:p>
    <w:p>
      <w:pPr>
        <w:pStyle w:val="4"/>
        <w:spacing w:before="2"/>
        <w:ind w:left="120"/>
      </w:pPr>
    </w:p>
    <w:p>
      <w:pPr>
        <w:pStyle w:val="4"/>
        <w:spacing w:before="2"/>
        <w:ind w:left="120"/>
      </w:pPr>
    </w:p>
    <w:p>
      <w:pPr>
        <w:pStyle w:val="4"/>
        <w:spacing w:before="2"/>
        <w:ind w:left="120"/>
      </w:pPr>
    </w:p>
    <w:p>
      <w:pPr>
        <w:pStyle w:val="4"/>
        <w:spacing w:before="2"/>
        <w:ind w:left="120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4" w:line="360" w:lineRule="auto"/>
        <w:textAlignment w:val="auto"/>
        <w:rPr>
          <w:rFonts w:hint="eastAsia"/>
          <w:lang w:val="en-US" w:eastAsia="zh-CN"/>
        </w:rPr>
      </w:pPr>
    </w:p>
    <w:sectPr>
      <w:headerReference r:id="rId6" w:type="default"/>
      <w:footerReference r:id="rId7" w:type="default"/>
      <w:pgSz w:w="11910" w:h="16840"/>
      <w:pgMar w:top="1080" w:right="1140" w:bottom="1040" w:left="1680" w:header="454" w:footer="8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97.75pt;margin-top:797.7pt;height:11pt;width:10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0" w:line="203" w:lineRule="exact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rect id="_x0000_s2053" o:spid="_x0000_s2053" o:spt="1" style="position:absolute;left:0pt;margin-left:90pt;margin-top:789pt;height:2.85pt;width:415.3pt;mso-position-horizontal-relative:page;mso-position-vertical-relative:page;z-index:-251654144;mso-width-relative:page;mso-height-relative:page;" fillcolor="#9BBA58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4" o:spid="_x0000_s2054" o:spt="202" type="#_x0000_t202" style="position:absolute;left:0pt;margin-left:493.2pt;margin-top:797.7pt;height:11pt;width:15.1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0" w:line="203" w:lineRule="exact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0" o:spid="_x0000_s2050" style="position:absolute;left:0pt;margin-left:90pt;margin-top:50.25pt;height:4.35pt;width:415.3pt;mso-position-horizontal-relative:page;mso-position-vertical-relative:page;z-index:-251655168;mso-width-relative:page;mso-height-relative:page;" fillcolor="#612322" filled="t" stroked="f" coordorigin="1800,1006" coordsize="8306,87" path="m10106,1035l1800,1035,1800,1092,10106,1092,10106,1035xm10106,1006l1800,1006,1800,1020,10106,1020,10106,1006xe">
          <v:path arrowok="t"/>
          <v:fill on="t" focussize="0,0"/>
          <v:stroke on="f"/>
          <v:imagedata o:title=""/>
          <o:lock v:ext="edit"/>
        </v:shape>
      </w:pict>
    </w:r>
    <w:r>
      <w:pict>
        <v:shape id="_x0000_s2052" o:spid="_x0000_s2052" o:spt="202" type="#_x0000_t202" style="position:absolute;left:0pt;margin-left:379.25pt;margin-top:37.95pt;height:12pt;width:131.6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rPr>
                    <w:spacing w:val="8"/>
                    <w:sz w:val="18"/>
                  </w:rPr>
                </w:pPr>
                <w:r>
                  <w:rPr>
                    <w:rFonts w:hint="eastAsia"/>
                    <w:spacing w:val="8"/>
                    <w:sz w:val="18"/>
                  </w:rPr>
                  <w:t>青海电子招标投标公共服务平台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120" w:hanging="560"/>
        <w:jc w:val="left"/>
      </w:pPr>
      <w:rPr>
        <w:rFonts w:hint="default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20" w:hanging="560"/>
        <w:jc w:val="left"/>
      </w:pPr>
      <w:rPr>
        <w:rFonts w:hint="default" w:ascii="宋体" w:hAnsi="宋体" w:eastAsia="宋体" w:cs="宋体"/>
        <w:spacing w:val="-2"/>
        <w:w w:val="99"/>
        <w:sz w:val="32"/>
        <w:szCs w:val="3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13" w:hanging="5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09" w:hanging="5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06" w:hanging="5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03" w:hanging="5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499" w:hanging="5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96" w:hanging="5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292" w:hanging="56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0D48DE"/>
    <w:rsid w:val="00225581"/>
    <w:rsid w:val="02824C87"/>
    <w:rsid w:val="0B1F0E32"/>
    <w:rsid w:val="1A95222B"/>
    <w:rsid w:val="211B27C6"/>
    <w:rsid w:val="26CE45BA"/>
    <w:rsid w:val="2F3B242A"/>
    <w:rsid w:val="398E5133"/>
    <w:rsid w:val="3A047F65"/>
    <w:rsid w:val="3E49293D"/>
    <w:rsid w:val="4C490ECE"/>
    <w:rsid w:val="57885129"/>
    <w:rsid w:val="68C40D36"/>
    <w:rsid w:val="7B700614"/>
    <w:rsid w:val="7F093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35"/>
      <w:ind w:left="120"/>
      <w:outlineLvl w:val="1"/>
    </w:pPr>
    <w:rPr>
      <w:rFonts w:ascii="Microsoft YaHei UI" w:hAnsi="Microsoft YaHei UI" w:eastAsia="Microsoft YaHei UI" w:cs="Microsoft YaHei UI"/>
      <w:b/>
      <w:bCs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1"/>
    <w:pPr>
      <w:spacing w:before="214"/>
      <w:ind w:left="120"/>
    </w:pPr>
    <w:rPr>
      <w:rFonts w:ascii="宋体" w:hAnsi="宋体" w:eastAsia="宋体" w:cs="宋体"/>
      <w:sz w:val="32"/>
      <w:szCs w:val="32"/>
      <w:lang w:val="en-US" w:eastAsia="zh-CN" w:bidi="ar-SA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  <w:rPr>
      <w:b/>
      <w:bCs/>
    </w:rPr>
  </w:style>
  <w:style w:type="character" w:styleId="13">
    <w:name w:val="HTML Definition"/>
    <w:basedOn w:val="9"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uiPriority w:val="0"/>
  </w:style>
  <w:style w:type="character" w:styleId="20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ascii="monospace" w:hAnsi="monospace" w:eastAsia="monospace" w:cs="monospace"/>
    </w:rPr>
  </w:style>
  <w:style w:type="table" w:customStyle="1" w:styleId="2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qFormat/>
    <w:uiPriority w:val="1"/>
    <w:pPr>
      <w:ind w:left="679" w:hanging="560"/>
    </w:pPr>
    <w:rPr>
      <w:rFonts w:ascii="宋体" w:hAnsi="宋体" w:eastAsia="宋体" w:cs="宋体"/>
      <w:lang w:val="en-US" w:eastAsia="zh-CN" w:bidi="ar-SA"/>
    </w:rPr>
  </w:style>
  <w:style w:type="paragraph" w:customStyle="1" w:styleId="24">
    <w:name w:val="Table Paragraph"/>
    <w:basedOn w:val="1"/>
    <w:qFormat/>
    <w:uiPriority w:val="1"/>
    <w:rPr>
      <w:lang w:val="en-US" w:eastAsia="zh-CN" w:bidi="ar-SA"/>
    </w:rPr>
  </w:style>
  <w:style w:type="paragraph" w:customStyle="1" w:styleId="25">
    <w:name w:val="mini-messagebox-msg"/>
    <w:basedOn w:val="1"/>
    <w:qFormat/>
    <w:uiPriority w:val="0"/>
    <w:pPr>
      <w:wordWrap w:val="0"/>
      <w:spacing w:line="240" w:lineRule="atLeast"/>
      <w:ind w:left="1600"/>
      <w:jc w:val="left"/>
    </w:pPr>
    <w:rPr>
      <w:kern w:val="0"/>
      <w:sz w:val="16"/>
      <w:szCs w:val="16"/>
      <w:lang w:val="en-US" w:eastAsia="zh-CN" w:bidi="ar"/>
    </w:rPr>
  </w:style>
  <w:style w:type="character" w:customStyle="1" w:styleId="26">
    <w:name w:val="ui-autocomplete"/>
    <w:basedOn w:val="9"/>
    <w:uiPriority w:val="0"/>
  </w:style>
  <w:style w:type="character" w:customStyle="1" w:styleId="27">
    <w:name w:val="node-text1"/>
    <w:basedOn w:val="9"/>
    <w:uiPriority w:val="0"/>
    <w:rPr>
      <w:sz w:val="13"/>
      <w:szCs w:val="13"/>
    </w:rPr>
  </w:style>
  <w:style w:type="character" w:customStyle="1" w:styleId="28">
    <w:name w:val="mini-tab-text3"/>
    <w:basedOn w:val="9"/>
    <w:uiPriority w:val="0"/>
  </w:style>
  <w:style w:type="character" w:customStyle="1" w:styleId="29">
    <w:name w:val="hover1"/>
    <w:basedOn w:val="9"/>
    <w:uiPriority w:val="0"/>
    <w:rPr>
      <w:color w:val="2590EB"/>
    </w:rPr>
  </w:style>
  <w:style w:type="character" w:customStyle="1" w:styleId="30">
    <w:name w:val="hover2"/>
    <w:basedOn w:val="9"/>
    <w:uiPriority w:val="0"/>
    <w:rPr>
      <w:color w:val="2590EB"/>
    </w:rPr>
  </w:style>
  <w:style w:type="character" w:customStyle="1" w:styleId="31">
    <w:name w:val="hover3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2052"/>
    <customShpInfo spid="_x0000_s2053"/>
    <customShpInfo spid="_x0000_s2054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2023-03-31T07:50:00Z</dcterms:created>
  <dc:creator>86176</dc:creator>
  <cp:lastModifiedBy>NL</cp:lastModifiedBy>
  <dcterms:modified xsi:type="dcterms:W3CDTF">2023-07-15T08:52:37Z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LastSaved">
    <vt:filetime>2023-03-31T00:00:00Z</vt:filetime>
  </property>
  <property fmtid="{D5CDD505-2E9C-101B-9397-08002B2CF9AE}" pid="4" name="KSOProductBuildVer">
    <vt:lpwstr>2052-11.8.2.11542</vt:lpwstr>
  </property>
  <property fmtid="{D5CDD505-2E9C-101B-9397-08002B2CF9AE}" pid="5" name="ICV">
    <vt:lpwstr>C5F4F7983F0F40EA9C87B6FCB2C99A5F</vt:lpwstr>
  </property>
</Properties>
</file>