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</w:p>
    <w:p>
      <w:pPr>
        <w:spacing w:before="28" w:line="336" w:lineRule="auto"/>
        <w:ind w:right="1028"/>
        <w:jc w:val="center"/>
        <w:outlineLvl w:val="9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青海省电子招投标公共服务平台</w:t>
      </w:r>
    </w:p>
    <w:p>
      <w:pPr>
        <w:spacing w:before="28" w:line="336" w:lineRule="auto"/>
        <w:ind w:right="1028"/>
        <w:jc w:val="center"/>
        <w:outlineLvl w:val="9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竞买人操作手册</w:t>
      </w:r>
    </w:p>
    <w:p>
      <w:pPr>
        <w:spacing w:line="391" w:lineRule="exact"/>
        <w:ind w:left="628" w:right="1028"/>
        <w:jc w:val="center"/>
        <w:outlineLvl w:val="9"/>
        <w:rPr>
          <w:rFonts w:ascii="宋体" w:hAnsi="宋体" w:eastAsia="宋体" w:cs="宋体"/>
          <w:b/>
          <w:sz w:val="40"/>
          <w:szCs w:val="40"/>
        </w:rPr>
      </w:pPr>
      <w:r>
        <w:rPr>
          <w:rFonts w:hint="eastAsia" w:ascii="宋体" w:hAnsi="宋体" w:eastAsia="宋体" w:cs="宋体"/>
          <w:b/>
          <w:sz w:val="40"/>
          <w:szCs w:val="40"/>
        </w:rPr>
        <w:t>（产权交易）</w:t>
      </w:r>
    </w:p>
    <w:p>
      <w:pPr>
        <w:pStyle w:val="6"/>
        <w:jc w:val="center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spacing w:before="9"/>
        <w:rPr>
          <w:rFonts w:ascii="宋体" w:hAnsi="宋体" w:eastAsia="宋体" w:cs="宋体"/>
          <w:b/>
          <w:sz w:val="28"/>
          <w:szCs w:val="28"/>
        </w:rPr>
      </w:pPr>
    </w:p>
    <w:p>
      <w:pPr>
        <w:spacing w:before="1"/>
        <w:ind w:left="631" w:right="1028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</w:rPr>
        <w:t xml:space="preserve"> 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68"/>
          <w:sz w:val="28"/>
          <w:szCs w:val="28"/>
        </w:rPr>
        <w:t xml:space="preserve">月 </w:t>
      </w:r>
      <w:r>
        <w:rPr>
          <w:rFonts w:hint="eastAsia" w:ascii="宋体" w:hAnsi="宋体" w:eastAsia="宋体" w:cs="宋体"/>
          <w:spacing w:val="-68"/>
          <w:sz w:val="28"/>
          <w:szCs w:val="28"/>
          <w:lang w:val="en-US" w:eastAsia="zh-CN"/>
        </w:rPr>
        <w:t xml:space="preserve">15  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jc w:val="center"/>
        <w:rPr>
          <w:rFonts w:ascii="宋体" w:hAnsi="宋体" w:eastAsia="宋体" w:cs="宋体"/>
          <w:sz w:val="28"/>
          <w:szCs w:val="28"/>
        </w:rPr>
        <w:sectPr>
          <w:type w:val="continuous"/>
          <w:pgSz w:w="11910" w:h="16840"/>
          <w:pgMar w:top="1580" w:right="1280" w:bottom="280" w:left="1680" w:header="720" w:footer="720" w:gutter="0"/>
          <w:cols w:space="720" w:num="1"/>
        </w:sectPr>
      </w:pPr>
    </w:p>
    <w:sdt>
      <w:sdtPr>
        <w:rPr>
          <w:rFonts w:ascii="宋体" w:hAnsi="宋体" w:eastAsia="宋体" w:cs="Times New Roman"/>
          <w:sz w:val="21"/>
          <w:szCs w:val="22"/>
          <w:lang w:val="zh-CN" w:eastAsia="zh-CN" w:bidi="zh-CN"/>
        </w:rPr>
        <w:id w:val="147451594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0"/>
            <w:tabs>
              <w:tab w:val="right" w:leader="dot" w:pos="8950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_Toc23836 </w:instrText>
          </w:r>
          <w:r>
            <w:fldChar w:fldCharType="separate"/>
          </w:r>
          <w:r>
            <w:rPr>
              <w:rFonts w:hint="eastAsia"/>
              <w:szCs w:val="28"/>
            </w:rPr>
            <w:t>一、 系统前期准备</w:t>
          </w:r>
          <w:r>
            <w:tab/>
          </w:r>
          <w:r>
            <w:fldChar w:fldCharType="begin"/>
          </w:r>
          <w:r>
            <w:instrText xml:space="preserve"> PAGEREF _Toc23836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_Toc28296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1、CA 驱动安装及浏览器设置方法</w:t>
          </w:r>
          <w:r>
            <w:tab/>
          </w:r>
          <w:r>
            <w:fldChar w:fldCharType="begin"/>
          </w:r>
          <w:r>
            <w:instrText xml:space="preserve"> PAGEREF _Toc28296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_Toc1964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8"/>
              <w:lang w:val="en-US" w:eastAsia="zh-CN" w:bidi="ar"/>
            </w:rPr>
            <w:t>（1） CA 驱动安装说明</w:t>
          </w:r>
          <w:r>
            <w:tab/>
          </w:r>
          <w:r>
            <w:fldChar w:fldCharType="begin"/>
          </w:r>
          <w:r>
            <w:instrText xml:space="preserve"> PAGEREF _Toc1964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_Toc26359 </w:instrText>
          </w:r>
          <w:r>
            <w:fldChar w:fldCharType="separate"/>
          </w:r>
          <w:r>
            <w:rPr>
              <w:rFonts w:hint="eastAsia" w:ascii="Calibri" w:hAnsi="Calibri" w:eastAsia="宋体" w:cs="Calibri"/>
              <w:bCs/>
              <w:kern w:val="0"/>
              <w:szCs w:val="30"/>
              <w:lang w:val="en-US" w:eastAsia="zh-CN" w:bidi="ar"/>
            </w:rPr>
            <w:t>（2）</w:t>
          </w:r>
          <w:r>
            <w:rPr>
              <w:rFonts w:hint="eastAsia" w:ascii="宋体" w:hAnsi="宋体" w:eastAsia="宋体" w:cs="宋体"/>
              <w:bCs/>
              <w:kern w:val="0"/>
              <w:szCs w:val="30"/>
              <w:lang w:val="en-US" w:eastAsia="zh-CN" w:bidi="ar"/>
            </w:rPr>
            <w:t xml:space="preserve"> 驱动安装后检测</w:t>
          </w:r>
          <w:r>
            <w:tab/>
          </w:r>
          <w:r>
            <w:fldChar w:fldCharType="begin"/>
          </w:r>
          <w:r>
            <w:instrText xml:space="preserve"> PAGEREF _Toc26359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_Toc20510 </w:instrText>
          </w:r>
          <w:r>
            <w:fldChar w:fldCharType="separate"/>
          </w:r>
          <w:r>
            <w:rPr>
              <w:rFonts w:hint="eastAsia"/>
              <w:szCs w:val="28"/>
            </w:rPr>
            <w:t>二、产权交易竞买人操作</w:t>
          </w:r>
          <w:r>
            <w:tab/>
          </w:r>
          <w:r>
            <w:fldChar w:fldCharType="begin"/>
          </w:r>
          <w:r>
            <w:instrText xml:space="preserve"> PAGEREF _Toc20510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_Toc10754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、竞价报名</w:t>
          </w:r>
          <w:r>
            <w:tab/>
          </w:r>
          <w:r>
            <w:fldChar w:fldCharType="begin"/>
          </w:r>
          <w:r>
            <w:instrText xml:space="preserve"> PAGEREF _Toc10754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_Toc7420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t>2、竞价标的</w:t>
          </w:r>
          <w:r>
            <w:tab/>
          </w:r>
          <w:r>
            <w:fldChar w:fldCharType="begin"/>
          </w:r>
          <w:r>
            <w:instrText xml:space="preserve"> PAGEREF _Toc7420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950"/>
            </w:tabs>
          </w:pPr>
          <w:r>
            <w:fldChar w:fldCharType="begin"/>
          </w:r>
          <w:r>
            <w:instrText xml:space="preserve"> HYPERLINK \l _Toc16393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3、</w:t>
          </w:r>
          <w:r>
            <w:rPr>
              <w:rFonts w:hint="eastAsia" w:ascii="宋体" w:hAnsi="宋体" w:eastAsia="宋体" w:cs="宋体"/>
              <w:szCs w:val="28"/>
            </w:rPr>
            <w:t>历史标的</w:t>
          </w:r>
          <w:r>
            <w:tab/>
          </w:r>
          <w:r>
            <w:fldChar w:fldCharType="begin"/>
          </w:r>
          <w:r>
            <w:instrText xml:space="preserve"> PAGEREF _Toc16393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widowControl/>
        <w:autoSpaceDE/>
        <w:autoSpaceDN/>
        <w:rPr>
          <w:rFonts w:eastAsia="宋体"/>
        </w:rPr>
      </w:pPr>
      <w:r>
        <w:rPr>
          <w:rFonts w:eastAsia="宋体"/>
        </w:rPr>
        <w:br w:type="page"/>
      </w:r>
      <w:bookmarkStart w:id="36" w:name="_GoBack"/>
      <w:bookmarkEnd w:id="36"/>
    </w:p>
    <w:p>
      <w:pPr>
        <w:bidi w:val="0"/>
        <w:jc w:val="left"/>
        <w:rPr>
          <w:rFonts w:hint="eastAsia" w:ascii="Times New Roman" w:hAnsi="Times New Roman" w:eastAsia="Times New Roman" w:cs="Times New Roman"/>
          <w:sz w:val="22"/>
          <w:szCs w:val="22"/>
          <w:lang w:val="zh-CN" w:eastAsia="zh-CN" w:bidi="zh-CN"/>
        </w:rPr>
      </w:pPr>
    </w:p>
    <w:p>
      <w:pPr>
        <w:pStyle w:val="2"/>
        <w:numPr>
          <w:ilvl w:val="0"/>
          <w:numId w:val="1"/>
        </w:numPr>
        <w:spacing w:before="23"/>
        <w:ind w:left="0"/>
        <w:rPr>
          <w:sz w:val="28"/>
          <w:szCs w:val="28"/>
        </w:rPr>
      </w:pPr>
      <w:bookmarkStart w:id="0" w:name="_Toc23836"/>
      <w:r>
        <w:rPr>
          <w:rFonts w:hint="eastAsia"/>
          <w:sz w:val="28"/>
          <w:szCs w:val="28"/>
        </w:rPr>
        <w:t>系统前期准备</w:t>
      </w:r>
      <w:bookmarkEnd w:id="0"/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outlineLvl w:val="1"/>
        <w:rPr>
          <w:sz w:val="28"/>
          <w:szCs w:val="28"/>
        </w:rPr>
      </w:pPr>
      <w:bookmarkStart w:id="1" w:name="_bookmark1"/>
      <w:bookmarkEnd w:id="1"/>
      <w:bookmarkStart w:id="2" w:name="1.1、CA驱动安装说明"/>
      <w:bookmarkEnd w:id="2"/>
      <w:bookmarkStart w:id="3" w:name="_Toc1077"/>
      <w:bookmarkStart w:id="4" w:name="_Toc28296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1、CA 驱动安装及浏览器设置方法</w:t>
      </w:r>
      <w:bookmarkEnd w:id="3"/>
      <w:bookmarkEnd w:id="4"/>
    </w:p>
    <w:p>
      <w:pPr>
        <w:bidi w:val="0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5" w:name="_Toc1964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（1） CA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驱动安装说明</w:t>
      </w:r>
      <w:bookmarkEnd w:id="5"/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首先进入青海省电子招标投标公共服务平台：https://www.qhggzyjy.gov.cn/fwpt/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71770" cy="2757170"/>
            <wp:effectExtent l="0" t="0" r="127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进入“下载中心”栏目，下载驱动安装包。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2507615"/>
            <wp:effectExtent l="0" t="0" r="3810" b="698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 xml:space="preserve">下载完成后，解压，双击应用程序。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865" cy="1007110"/>
            <wp:effectExtent l="0" t="0" r="3175" b="139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点击快速安装 ，进入安装页面。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9230" cy="3952240"/>
            <wp:effectExtent l="0" t="0" r="381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 w:val="28"/>
          <w:szCs w:val="28"/>
          <w:lang w:val="en-US" w:eastAsia="zh-CN" w:bidi="ar"/>
        </w:rPr>
        <w:t>选择快速安装，默认均点确定，下一步，直到安装完成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8"/>
          <w:szCs w:val="28"/>
          <w:lang w:val="en-US" w:eastAsia="zh-CN" w:bidi="ar"/>
        </w:rPr>
        <w:t>。</w:t>
      </w:r>
    </w:p>
    <w:p>
      <w:pPr>
        <w:bidi w:val="0"/>
        <w:outlineLvl w:val="1"/>
      </w:pPr>
      <w:bookmarkStart w:id="6" w:name="_Toc26359"/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（2）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驱动安装后检测</w:t>
      </w:r>
      <w:bookmarkEnd w:id="6"/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启动检测工具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685800" cy="942975"/>
            <wp:effectExtent l="0" t="0" r="0" b="1905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用户可以点击桌面上的新点检测工具图标来启动检测工具。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系统检测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用户可以点击“一键检测”，选择证书，输入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Pin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码，可以检测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该证书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是否可以正常使用。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6690" cy="3331845"/>
            <wp:effectExtent l="0" t="0" r="6350" b="571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865" cy="3376295"/>
            <wp:effectExtent l="0" t="0" r="3175" b="698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如果检测完成后显示检测通过，且以上都是打勾，系统所需要控件都安装完毕了。 </w:t>
      </w:r>
    </w:p>
    <w:p>
      <w:pPr>
        <w:bidi w:val="0"/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28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、 签章检测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此功能是用于测试证书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是否可以正常盖章，请点击签章测试 ，在 出现的窗口中，选择签章的名称和签章的模式，并输入您的证书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Key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的密码，点击确定按钮。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9865" cy="2951480"/>
            <wp:effectExtent l="0" t="0" r="3175" b="508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如果能成功加盖印章，并且有勾显示，则证明您的证书 </w:t>
      </w:r>
      <w:r>
        <w:rPr>
          <w:rFonts w:hint="default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 xml:space="preserve">Key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没有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问题。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71135" cy="2819400"/>
            <wp:effectExtent l="0" t="0" r="1905" b="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jc w:val="both"/>
        <w:rPr>
          <w:rFonts w:hint="eastAsia" w:ascii="宋体" w:hAnsi="宋体" w:eastAsia="宋体" w:cs="宋体"/>
          <w:spacing w:val="0"/>
          <w:w w:val="100"/>
          <w:position w:val="0"/>
          <w:sz w:val="31"/>
          <w:szCs w:val="31"/>
        </w:rPr>
      </w:pPr>
    </w:p>
    <w:p>
      <w:pPr>
        <w:bidi w:val="0"/>
        <w:rPr>
          <w:rFonts w:hint="default"/>
          <w:lang w:val="en-US"/>
        </w:rPr>
      </w:pP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（3）</w:t>
      </w:r>
      <w:r>
        <w:rPr>
          <w:rFonts w:hint="default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IE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浏览器配置（</w:t>
      </w:r>
      <w:r>
        <w:rPr>
          <w:rFonts w:hint="eastAsia" w:ascii="Calibri" w:hAnsi="Calibri" w:eastAsia="宋体" w:cs="Calibri"/>
          <w:b/>
          <w:bCs/>
          <w:color w:val="000000"/>
          <w:kern w:val="0"/>
          <w:sz w:val="30"/>
          <w:szCs w:val="30"/>
          <w:lang w:val="en-US" w:eastAsia="zh-CN" w:bidi="ar"/>
        </w:rPr>
        <w:t>也可以打开下载的驱动，点击一键检测，即可自动完成浏览器设置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lang w:val="en-US" w:eastAsia="zh-CN" w:bidi="ar"/>
        </w:rPr>
        <w:t>）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①．打开 IE 浏览器，输入网址: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8"/>
          <w:szCs w:val="28"/>
          <w:u w:val="none"/>
          <w:lang w:val="en-US" w:eastAsia="zh-CN" w:bidi="ar"/>
        </w:rPr>
        <w:t>http://www.qhggzy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jy.gov.cn/TPBidder/memberLogin</w:t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进入《青海省公共资源交易网 V2.0》系统登录界面。</w:t>
      </w:r>
    </w:p>
    <w:p>
      <w:pPr>
        <w:bidi w:val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②．在如下图位置点击鼠标右键，勾选“菜单栏”调出菜单栏 </w:t>
      </w:r>
    </w:p>
    <w:p>
      <w:pPr>
        <w:bidi w:val="0"/>
      </w:pPr>
      <w:r>
        <w:drawing>
          <wp:inline distT="0" distB="0" distL="114300" distR="114300">
            <wp:extent cx="5273675" cy="2786380"/>
            <wp:effectExtent l="0" t="0" r="14605" b="254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③．点击“工具”---“兼容性视图设置”</w:t>
      </w:r>
    </w:p>
    <w:p>
      <w:pPr>
        <w:bidi w:val="0"/>
      </w:pPr>
      <w:r>
        <w:drawing>
          <wp:inline distT="0" distB="0" distL="114300" distR="114300">
            <wp:extent cx="5273675" cy="2813050"/>
            <wp:effectExtent l="0" t="0" r="14605" b="635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④．点击“添加”---关闭 完成</w:t>
      </w: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69230" cy="2778125"/>
            <wp:effectExtent l="0" t="0" r="3810" b="1079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6"/>
        <w:spacing w:before="9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numId w:val="0"/>
        </w:numPr>
        <w:spacing w:before="23"/>
        <w:rPr>
          <w:rFonts w:hint="eastAsia"/>
          <w:sz w:val="28"/>
          <w:szCs w:val="28"/>
        </w:rPr>
      </w:pPr>
      <w:bookmarkStart w:id="7" w:name="_Toc20510"/>
      <w:r>
        <w:rPr>
          <w:rFonts w:hint="eastAsia"/>
          <w:sz w:val="28"/>
          <w:szCs w:val="28"/>
        </w:rPr>
        <w:t>二、产权交易竞买人操作</w:t>
      </w:r>
      <w:bookmarkEnd w:id="7"/>
      <w:bookmarkStart w:id="8" w:name="2.1_会员端登录"/>
      <w:bookmarkEnd w:id="8"/>
      <w:bookmarkStart w:id="9" w:name="_bookmark12"/>
      <w:bookmarkEnd w:id="9"/>
    </w:p>
    <w:p>
      <w:pPr>
        <w:pStyle w:val="3"/>
        <w:ind w:left="402" w:firstLine="0"/>
        <w:rPr>
          <w:rFonts w:ascii="宋体" w:hAnsi="宋体" w:eastAsia="宋体" w:cs="宋体"/>
          <w:b/>
          <w:sz w:val="28"/>
          <w:szCs w:val="28"/>
        </w:rPr>
      </w:pPr>
      <w:bookmarkStart w:id="10" w:name="2.2_竞价报名操作"/>
      <w:bookmarkEnd w:id="10"/>
      <w:bookmarkStart w:id="11" w:name="_bookmark13"/>
      <w:bookmarkEnd w:id="11"/>
      <w:bookmarkStart w:id="12" w:name="_Toc10754"/>
      <w:r>
        <w:rPr>
          <w:rFonts w:hint="eastAsia"/>
          <w:lang w:val="en-US" w:eastAsia="zh-CN"/>
        </w:rPr>
        <w:t>1</w:t>
      </w:r>
      <w:r>
        <w:rPr>
          <w:rFonts w:hint="eastAsia"/>
        </w:rPr>
        <w:t>、竞价报名</w:t>
      </w:r>
      <w:bookmarkEnd w:id="12"/>
    </w:p>
    <w:p>
      <w:pPr>
        <w:tabs>
          <w:tab w:val="left" w:leader="hyphen" w:pos="5488"/>
        </w:tabs>
        <w:ind w:left="67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进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入</w:t>
      </w:r>
      <w:r>
        <w:rPr>
          <w:rFonts w:hint="eastAsia" w:ascii="宋体" w:hAnsi="宋体" w:eastAsia="宋体" w:cs="宋体"/>
          <w:sz w:val="28"/>
          <w:szCs w:val="28"/>
        </w:rPr>
        <w:t>会员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系</w:t>
      </w:r>
      <w:r>
        <w:rPr>
          <w:rFonts w:hint="eastAsia" w:ascii="宋体" w:hAnsi="宋体" w:eastAsia="宋体" w:cs="宋体"/>
          <w:sz w:val="28"/>
          <w:szCs w:val="28"/>
        </w:rPr>
        <w:t>统后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击</w:t>
      </w:r>
      <w:r>
        <w:rPr>
          <w:rFonts w:hint="eastAsia" w:ascii="宋体" w:hAnsi="宋体" w:eastAsia="宋体" w:cs="宋体"/>
          <w:sz w:val="28"/>
          <w:szCs w:val="28"/>
        </w:rPr>
        <w:t>【产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权</w:t>
      </w:r>
      <w:r>
        <w:rPr>
          <w:rFonts w:hint="eastAsia" w:ascii="宋体" w:hAnsi="宋体" w:eastAsia="宋体" w:cs="宋体"/>
          <w:sz w:val="28"/>
          <w:szCs w:val="28"/>
        </w:rPr>
        <w:t>业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务</w:t>
      </w:r>
      <w:r>
        <w:rPr>
          <w:rFonts w:hint="eastAsia" w:ascii="宋体" w:hAnsi="宋体" w:eastAsia="宋体" w:cs="宋体"/>
          <w:sz w:val="28"/>
          <w:szCs w:val="28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【竞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价</w:t>
      </w:r>
      <w:r>
        <w:rPr>
          <w:rFonts w:hint="eastAsia" w:ascii="宋体" w:hAnsi="宋体" w:eastAsia="宋体" w:cs="宋体"/>
          <w:sz w:val="28"/>
          <w:szCs w:val="28"/>
        </w:rPr>
        <w:t>报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名</w:t>
      </w:r>
      <w:r>
        <w:rPr>
          <w:rFonts w:hint="eastAsia" w:ascii="宋体" w:hAnsi="宋体" w:eastAsia="宋体" w:cs="宋体"/>
          <w:spacing w:val="-140"/>
          <w:sz w:val="28"/>
          <w:szCs w:val="28"/>
        </w:rPr>
        <w:t>】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点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击</w:t>
      </w:r>
      <w:r>
        <w:rPr>
          <w:rFonts w:hint="eastAsia" w:ascii="宋体" w:hAnsi="宋体" w:eastAsia="宋体" w:cs="宋体"/>
          <w:sz w:val="28"/>
          <w:szCs w:val="28"/>
        </w:rPr>
        <w:t>想要</w:t>
      </w: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竞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价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的产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权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交易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项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目后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方</w:t>
      </w:r>
      <w:r>
        <w:rPr>
          <w:rFonts w:hint="eastAsia" w:ascii="宋体" w:hAnsi="宋体" w:eastAsia="宋体" w:cs="宋体"/>
          <w:spacing w:val="-25"/>
          <w:sz w:val="28"/>
          <w:szCs w:val="28"/>
        </w:rPr>
        <w:t>的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我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要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报名</w:t>
      </w:r>
      <w:r>
        <w:rPr>
          <w:rFonts w:hint="eastAsia" w:ascii="宋体" w:hAnsi="宋体" w:eastAsia="宋体" w:cs="宋体"/>
          <w:spacing w:val="-25"/>
          <w:sz w:val="28"/>
          <w:szCs w:val="28"/>
        </w:rPr>
        <w:t>】</w:t>
      </w:r>
      <w:r>
        <w:rPr>
          <w:rFonts w:hint="eastAsia" w:ascii="宋体" w:hAnsi="宋体" w:eastAsia="宋体" w:cs="宋体"/>
          <w:spacing w:val="-12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25"/>
          <w:sz w:val="28"/>
          <w:szCs w:val="28"/>
        </w:rPr>
        <w:drawing>
          <wp:inline distT="0" distB="0" distL="0" distR="0">
            <wp:extent cx="237490" cy="180975"/>
            <wp:effectExtent l="0" t="0" r="0" b="0"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7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按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钮</w:t>
      </w:r>
      <w:r>
        <w:rPr>
          <w:rFonts w:hint="eastAsia" w:ascii="宋体" w:hAnsi="宋体" w:eastAsia="宋体" w:cs="宋体"/>
          <w:sz w:val="28"/>
          <w:szCs w:val="28"/>
        </w:rPr>
        <w:t>进入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竞</w:t>
      </w:r>
      <w:r>
        <w:rPr>
          <w:rFonts w:hint="eastAsia" w:ascii="宋体" w:hAnsi="宋体" w:eastAsia="宋体" w:cs="宋体"/>
          <w:sz w:val="28"/>
          <w:szCs w:val="28"/>
        </w:rPr>
        <w:t>价报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名</w:t>
      </w:r>
      <w:r>
        <w:rPr>
          <w:rFonts w:hint="eastAsia" w:ascii="宋体" w:hAnsi="宋体" w:eastAsia="宋体" w:cs="宋体"/>
          <w:sz w:val="28"/>
          <w:szCs w:val="28"/>
        </w:rPr>
        <w:t>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程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drawing>
          <wp:inline distT="0" distB="0" distL="0" distR="0">
            <wp:extent cx="5683250" cy="29413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2"/>
        <w:rPr>
          <w:rFonts w:ascii="宋体" w:hAnsi="宋体" w:eastAsia="宋体" w:cs="宋体"/>
          <w:sz w:val="28"/>
          <w:szCs w:val="28"/>
        </w:rPr>
      </w:pPr>
    </w:p>
    <w:p>
      <w:pPr>
        <w:pStyle w:val="15"/>
        <w:numPr>
          <w:numId w:val="0"/>
        </w:numPr>
        <w:tabs>
          <w:tab w:val="left" w:pos="1524"/>
        </w:tabs>
        <w:spacing w:before="62"/>
        <w:outlineLvl w:val="2"/>
        <w:rPr>
          <w:rFonts w:ascii="宋体" w:hAnsi="宋体" w:eastAsia="宋体" w:cs="宋体"/>
          <w:b/>
          <w:sz w:val="28"/>
          <w:szCs w:val="28"/>
        </w:rPr>
      </w:pPr>
      <w:bookmarkStart w:id="13" w:name="2.2.1_阅读《网上挂牌出让产权交易规则_》"/>
      <w:bookmarkEnd w:id="13"/>
      <w:bookmarkStart w:id="14" w:name="_bookmark14"/>
      <w:bookmarkEnd w:id="14"/>
      <w:r>
        <w:rPr>
          <w:rFonts w:hint="eastAsia" w:ascii="宋体" w:hAnsi="宋体" w:eastAsia="宋体" w:cs="宋体"/>
          <w:b/>
          <w:spacing w:val="-1"/>
          <w:sz w:val="28"/>
          <w:szCs w:val="28"/>
          <w:lang w:val="en-US" w:eastAsia="zh-CN"/>
        </w:rPr>
        <w:t>1.1</w:t>
      </w:r>
      <w:r>
        <w:rPr>
          <w:rFonts w:hint="eastAsia" w:ascii="宋体" w:hAnsi="宋体" w:eastAsia="宋体" w:cs="宋体"/>
          <w:b/>
          <w:spacing w:val="-1"/>
          <w:sz w:val="28"/>
          <w:szCs w:val="28"/>
        </w:rPr>
        <w:t>阅读《网上挂牌出让产权交易规则 》</w:t>
      </w:r>
    </w:p>
    <w:p>
      <w:pPr>
        <w:pStyle w:val="15"/>
        <w:tabs>
          <w:tab w:val="left" w:pos="1524"/>
        </w:tabs>
        <w:spacing w:before="62"/>
        <w:ind w:left="0" w:firstLine="0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417" w:lineRule="auto"/>
        <w:ind w:right="517" w:firstLine="496" w:firstLineChars="200"/>
        <w:rPr>
          <w:rFonts w:ascii="宋体" w:hAnsi="宋体" w:eastAsia="宋体" w:cs="宋体"/>
          <w:spacing w:val="-16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16"/>
          <w:sz w:val="28"/>
          <w:szCs w:val="28"/>
        </w:rPr>
        <w:t>认真阅读《网上挂牌出让产权交易规则 》，阅读完成后点击【同</w:t>
      </w:r>
      <w:r>
        <w:rPr>
          <w:rFonts w:hint="eastAsia" w:ascii="宋体" w:hAnsi="宋体" w:eastAsia="宋体" w:cs="宋体"/>
          <w:spacing w:val="-16"/>
          <w:sz w:val="28"/>
          <w:szCs w:val="28"/>
          <w:lang w:val="en-US"/>
        </w:rPr>
        <w:t>意】</w:t>
      </w:r>
    </w:p>
    <w:p>
      <w:pPr>
        <w:spacing w:line="417" w:lineRule="auto"/>
        <w:ind w:right="51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683250" cy="212026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  <w:sectPr>
          <w:footerReference r:id="rId3" w:type="default"/>
          <w:pgSz w:w="11910" w:h="16840"/>
          <w:pgMar w:top="1560" w:right="1280" w:bottom="1160" w:left="1680" w:header="0" w:footer="975" w:gutter="0"/>
          <w:cols w:space="720" w:num="1"/>
        </w:sectPr>
      </w:pPr>
    </w:p>
    <w:p>
      <w:pPr>
        <w:pStyle w:val="15"/>
        <w:numPr>
          <w:numId w:val="0"/>
        </w:numPr>
        <w:tabs>
          <w:tab w:val="left" w:pos="1524"/>
        </w:tabs>
        <w:spacing w:before="35"/>
        <w:outlineLvl w:val="2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409575</wp:posOffset>
                </wp:positionV>
                <wp:extent cx="2489200" cy="313055"/>
                <wp:effectExtent l="0" t="0" r="0" b="0"/>
                <wp:wrapNone/>
                <wp:docPr id="3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3"/>
                              <w:ind w:left="559"/>
                              <w:rPr>
                                <w:rFonts w:asci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sz w:val="28"/>
                              </w:rPr>
                              <w:t>申请人确认竞买申请书内容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90pt;margin-top:32.25pt;height:24.65pt;width:196pt;mso-position-horizontal-relative:page;z-index:-251653120;mso-width-relative:page;mso-height-relative:page;" filled="f" stroked="f" coordsize="21600,21600" o:gfxdata="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eVy4tNgAAAAKAQAADwAAAAAAAAABACAAAAAiAAAAZHJzL2Rvd25yZXYueG1sUEsB&#10;AhQAFAAAAAgAh07iQHiowyy8AQAAcw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3"/>
                        <w:ind w:left="559"/>
                        <w:rPr>
                          <w:rFonts w:ascii="宋体" w:eastAsia="宋体"/>
                          <w:sz w:val="28"/>
                        </w:rPr>
                      </w:pPr>
                      <w:r>
                        <w:rPr>
                          <w:rFonts w:hint="eastAsia" w:ascii="宋体" w:eastAsia="宋体"/>
                          <w:sz w:val="28"/>
                        </w:rPr>
                        <w:t>申请人确认竞买申请书内容</w:t>
                      </w:r>
                    </w:p>
                  </w:txbxContent>
                </v:textbox>
              </v:shape>
            </w:pict>
          </mc:Fallback>
        </mc:AlternateContent>
      </w:r>
      <w:bookmarkStart w:id="15" w:name="2.2.2_填写竞买申请书"/>
      <w:bookmarkEnd w:id="15"/>
      <w:bookmarkStart w:id="16" w:name="_bookmark15"/>
      <w:bookmarkEnd w:id="16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1.2</w:t>
      </w:r>
      <w:r>
        <w:rPr>
          <w:rFonts w:hint="eastAsia" w:ascii="宋体" w:hAnsi="宋体" w:eastAsia="宋体" w:cs="宋体"/>
          <w:b/>
          <w:sz w:val="28"/>
          <w:szCs w:val="28"/>
        </w:rPr>
        <w:t>填写竞买申请书</w:t>
      </w:r>
    </w:p>
    <w:p>
      <w:pPr>
        <w:spacing w:before="61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683250" cy="24225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3"/>
        </w:tabs>
        <w:spacing w:before="61"/>
        <w:ind w:left="67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若确认无误，申请人可点击【申请】进行竞买申请书确认操作</w:t>
      </w:r>
    </w:p>
    <w:p>
      <w:pPr>
        <w:pStyle w:val="6"/>
        <w:spacing w:before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247015</wp:posOffset>
            </wp:positionV>
            <wp:extent cx="5236210" cy="2454275"/>
            <wp:effectExtent l="0" t="0" r="2540" b="3175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2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76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156845</wp:posOffset>
            </wp:positionV>
            <wp:extent cx="5256530" cy="2319655"/>
            <wp:effectExtent l="0" t="0" r="1270" b="4445"/>
            <wp:wrapTopAndBottom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3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384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spacing w:before="2"/>
        <w:rPr>
          <w:rFonts w:ascii="宋体" w:hAnsi="宋体" w:eastAsia="宋体" w:cs="宋体"/>
          <w:sz w:val="28"/>
          <w:szCs w:val="28"/>
        </w:rPr>
      </w:pPr>
    </w:p>
    <w:p>
      <w:pPr>
        <w:pStyle w:val="15"/>
        <w:numPr>
          <w:ilvl w:val="2"/>
          <w:numId w:val="2"/>
        </w:numPr>
        <w:tabs>
          <w:tab w:val="left" w:pos="1524"/>
        </w:tabs>
        <w:rPr>
          <w:rFonts w:ascii="宋体" w:hAnsi="宋体" w:eastAsia="宋体" w:cs="宋体"/>
          <w:b/>
          <w:sz w:val="28"/>
          <w:szCs w:val="28"/>
        </w:rPr>
      </w:pPr>
      <w:bookmarkStart w:id="17" w:name="_bookmark16"/>
      <w:bookmarkEnd w:id="17"/>
      <w:bookmarkStart w:id="18" w:name="2.2.3_报名成功"/>
      <w:bookmarkEnd w:id="18"/>
      <w:r>
        <w:rPr>
          <w:rFonts w:hint="eastAsia" w:ascii="宋体" w:hAnsi="宋体" w:eastAsia="宋体" w:cs="宋体"/>
          <w:b/>
          <w:sz w:val="28"/>
          <w:szCs w:val="28"/>
        </w:rPr>
        <w:t>、报名成功</w:t>
      </w:r>
    </w:p>
    <w:p>
      <w:pPr>
        <w:ind w:left="67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申请人确认完毕竞买申请书后，则报名已经成功，需要申请人对</w:t>
      </w:r>
    </w:p>
    <w:p>
      <w:pPr>
        <w:pStyle w:val="6"/>
        <w:spacing w:before="5"/>
        <w:rPr>
          <w:rFonts w:ascii="宋体" w:eastAsia="宋体"/>
          <w:spacing w:val="-8"/>
          <w:sz w:val="28"/>
        </w:rPr>
      </w:pPr>
      <w:r>
        <w:rPr>
          <w:rFonts w:hint="eastAsia" w:ascii="宋体" w:eastAsia="宋体"/>
          <w:spacing w:val="-8"/>
          <w:sz w:val="28"/>
        </w:rPr>
        <w:t>报名信息进行确认，点击【确认】按钮即可</w:t>
      </w:r>
    </w:p>
    <w:p>
      <w:pPr>
        <w:pStyle w:val="6"/>
        <w:spacing w:before="5"/>
        <w:rPr>
          <w:rFonts w:ascii="宋体" w:hAnsi="宋体" w:eastAsia="宋体" w:cs="宋体"/>
          <w:color w:val="FF0000"/>
          <w:sz w:val="28"/>
          <w:szCs w:val="28"/>
          <w:shd w:val="clear" w:color="auto" w:fill="FFFF00"/>
          <w:lang w:val="en-US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shd w:val="clear" w:color="auto" w:fill="FFFF00"/>
          <w:lang w:val="en-US"/>
        </w:rPr>
        <w:t>备注：竞买号在保证金缴纳完成后才能看到。</w:t>
      </w:r>
    </w:p>
    <w:p>
      <w:pPr>
        <w:pStyle w:val="6"/>
        <w:spacing w:before="5"/>
        <w:rPr>
          <w:rFonts w:ascii="宋体" w:hAnsi="宋体" w:eastAsia="宋体" w:cs="宋体"/>
          <w:color w:val="FF0000"/>
          <w:sz w:val="28"/>
          <w:szCs w:val="28"/>
          <w:shd w:val="clear" w:color="auto" w:fill="FFFF00"/>
          <w:lang w:val="en-US"/>
        </w:rPr>
      </w:pPr>
      <w:r>
        <w:drawing>
          <wp:inline distT="0" distB="0" distL="0" distR="0">
            <wp:extent cx="5683250" cy="2549525"/>
            <wp:effectExtent l="0" t="0" r="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inline distT="0" distB="0" distL="114300" distR="114300">
                <wp:extent cx="5274310" cy="313055"/>
                <wp:effectExtent l="0" t="0" r="2540" b="10795"/>
                <wp:docPr id="40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3"/>
                              <w:ind w:right="-15"/>
                              <w:rPr>
                                <w:rFonts w:asci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color w:val="FF0000"/>
                                <w:spacing w:val="3"/>
                                <w:sz w:val="28"/>
                              </w:rPr>
                              <w:t>竞买人在缴纳完保证金后带上银行返回的回执单到当地交易中心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4" o:spid="_x0000_s1026" o:spt="202" type="#_x0000_t202" style="height:24.65pt;width:415.3pt;" fillcolor="#FFFF00" filled="t" stroked="f" coordsize="21600,21600" o:gfxdata="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XCjF3WAAAABAEAAA8AAAAAAAAAAQAgAAAAIgAA&#10;AGRycy9kb3ducmV2LnhtbFBLAQIUABQAAAAIAIdO4kA+88Js0QEAAJ0DAAAOAAAAAAAAAAEAIAAA&#10;ACU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3"/>
                        <w:ind w:right="-15"/>
                        <w:rPr>
                          <w:rFonts w:ascii="宋体" w:eastAsia="宋体"/>
                          <w:sz w:val="28"/>
                        </w:rPr>
                      </w:pPr>
                      <w:r>
                        <w:rPr>
                          <w:rFonts w:hint="eastAsia" w:ascii="宋体" w:eastAsia="宋体"/>
                          <w:color w:val="FF0000"/>
                          <w:spacing w:val="3"/>
                          <w:sz w:val="28"/>
                        </w:rPr>
                        <w:t>竞买人在缴纳完保证金后带上银行返回的回执单到当地交易中心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inline distT="0" distB="0" distL="114300" distR="114300">
                <wp:extent cx="5274310" cy="313055"/>
                <wp:effectExtent l="0" t="0" r="2540" b="10795"/>
                <wp:docPr id="38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3"/>
                              <w:ind w:right="-15"/>
                              <w:rPr>
                                <w:rFonts w:asci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color w:val="FF0000"/>
                                <w:spacing w:val="-10"/>
                                <w:sz w:val="28"/>
                              </w:rPr>
                              <w:t>进行保证金缴纳现场确认操作，只有现场确认后才能在竞价开始后进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5" o:spid="_x0000_s1026" o:spt="202" type="#_x0000_t202" style="height:24.65pt;width:415.3pt;" fillcolor="#FFFF00" filled="t" stroked="f" coordsize="21600,21600" o:gfxdata="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XCjF3WAAAABAEAAA8AAAAAAAAAAQAgAAAAIgAA&#10;AGRycy9kb3ducmV2LnhtbFBLAQIUABQAAAAIAIdO4kD8ATk50QEAAJ0DAAAOAAAAAAAAAAEAIAAA&#10;ACU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3"/>
                        <w:ind w:right="-15"/>
                        <w:rPr>
                          <w:rFonts w:ascii="宋体" w:eastAsia="宋体"/>
                          <w:sz w:val="28"/>
                        </w:rPr>
                      </w:pPr>
                      <w:r>
                        <w:rPr>
                          <w:rFonts w:hint="eastAsia" w:ascii="宋体" w:eastAsia="宋体"/>
                          <w:color w:val="FF0000"/>
                          <w:spacing w:val="-10"/>
                          <w:sz w:val="28"/>
                        </w:rPr>
                        <w:t>进行保证金缴纳现场确认操作，只有现场确认后才能在竞价开始后进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inline distT="0" distB="0" distL="114300" distR="114300">
                <wp:extent cx="1066800" cy="313055"/>
                <wp:effectExtent l="0" t="0" r="0" b="10795"/>
                <wp:docPr id="3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ind w:right="-15"/>
                              <w:rPr>
                                <w:rFonts w:ascii="宋体" w:eastAsia="宋体"/>
                                <w:sz w:val="28"/>
                              </w:rPr>
                            </w:pPr>
                            <w:r>
                              <w:rPr>
                                <w:rFonts w:hint="eastAsia" w:ascii="宋体" w:eastAsia="宋体"/>
                                <w:color w:val="FF0000"/>
                                <w:spacing w:val="-3"/>
                                <w:sz w:val="28"/>
                              </w:rPr>
                              <w:t>入竞价流程。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16" o:spid="_x0000_s1026" o:spt="202" type="#_x0000_t202" style="height:24.65pt;width:84pt;" fillcolor="#FFFF00" filled="t" stroked="f" coordsize="21600,21600" o:gfxdata="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GMQXc1QAAAAQBAAAPAAAAAAAAAAEAIAAAACIAAABk&#10;cnMvZG93bnJldi54bWxQSwECFAAUAAAACACHTuJAXMbO/9ABAACdAwAADgAAAAAAAAABACAAAAAk&#10;AQAAZHJzL2Uyb0RvYy54bWxQSwUGAAAAAAYABgBZAQAAZ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34"/>
                        <w:ind w:right="-15"/>
                        <w:rPr>
                          <w:rFonts w:ascii="宋体" w:eastAsia="宋体"/>
                          <w:sz w:val="28"/>
                        </w:rPr>
                      </w:pPr>
                      <w:r>
                        <w:rPr>
                          <w:rFonts w:hint="eastAsia" w:ascii="宋体" w:eastAsia="宋体"/>
                          <w:color w:val="FF0000"/>
                          <w:spacing w:val="-3"/>
                          <w:sz w:val="28"/>
                        </w:rPr>
                        <w:t>入竞价流程。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6"/>
        <w:spacing w:before="10"/>
        <w:rPr>
          <w:rFonts w:ascii="宋体" w:hAnsi="宋体" w:eastAsia="宋体" w:cs="宋体"/>
          <w:sz w:val="28"/>
          <w:szCs w:val="28"/>
        </w:rPr>
      </w:pPr>
    </w:p>
    <w:p>
      <w:pPr>
        <w:pStyle w:val="15"/>
        <w:numPr>
          <w:ilvl w:val="2"/>
          <w:numId w:val="2"/>
        </w:numPr>
        <w:tabs>
          <w:tab w:val="left" w:pos="1524"/>
        </w:tabs>
        <w:spacing w:before="62"/>
        <w:rPr>
          <w:rFonts w:ascii="宋体" w:hAnsi="宋体" w:eastAsia="宋体" w:cs="宋体"/>
          <w:b/>
          <w:sz w:val="28"/>
          <w:szCs w:val="28"/>
        </w:rPr>
      </w:pPr>
      <w:bookmarkStart w:id="19" w:name="2.2.4_标的详情查看"/>
      <w:bookmarkEnd w:id="19"/>
      <w:bookmarkStart w:id="20" w:name="_bookmark17"/>
      <w:bookmarkEnd w:id="20"/>
      <w:r>
        <w:rPr>
          <w:rFonts w:hint="eastAsia" w:ascii="宋体" w:hAnsi="宋体" w:eastAsia="宋体" w:cs="宋体"/>
          <w:b/>
          <w:sz w:val="28"/>
          <w:szCs w:val="28"/>
        </w:rPr>
        <w:t>、标的详情查看</w:t>
      </w: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ind w:left="120" w:firstLine="556" w:firstLineChars="200"/>
        <w:rPr>
          <w:rFonts w:ascii="宋体" w:hAnsi="宋体" w:eastAsia="宋体" w:cs="宋体"/>
          <w:spacing w:val="-3"/>
          <w:sz w:val="28"/>
          <w:szCs w:val="28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在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报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名流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程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结束后</w:t>
      </w:r>
      <w:r>
        <w:rPr>
          <w:rFonts w:hint="eastAsia" w:ascii="宋体" w:hAnsi="宋体" w:eastAsia="宋体" w:cs="宋体"/>
          <w:spacing w:val="-65"/>
          <w:sz w:val="28"/>
          <w:szCs w:val="28"/>
        </w:rPr>
        <w:t>，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竞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买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人可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点</w:t>
      </w:r>
      <w:r>
        <w:rPr>
          <w:rFonts w:hint="eastAsia" w:ascii="宋体" w:hAnsi="宋体" w:eastAsia="宋体" w:cs="宋体"/>
          <w:spacing w:val="-63"/>
          <w:sz w:val="28"/>
          <w:szCs w:val="28"/>
        </w:rPr>
        <w:t>击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【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标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的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详情</w:t>
      </w:r>
      <w:r>
        <w:rPr>
          <w:rFonts w:hint="eastAsia" w:ascii="宋体" w:hAnsi="宋体" w:eastAsia="宋体" w:cs="宋体"/>
          <w:spacing w:val="-63"/>
          <w:sz w:val="28"/>
          <w:szCs w:val="28"/>
        </w:rPr>
        <w:t>】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下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面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的查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看</w:t>
      </w:r>
      <w:r>
        <w:rPr>
          <w:rFonts w:hint="eastAsia" w:ascii="宋体" w:hAnsi="宋体" w:eastAsia="宋体" w:cs="宋体"/>
          <w:spacing w:val="-11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3"/>
          <w:sz w:val="28"/>
          <w:szCs w:val="28"/>
        </w:rPr>
        <w:drawing>
          <wp:inline distT="0" distB="0" distL="0" distR="0">
            <wp:extent cx="227965" cy="190500"/>
            <wp:effectExtent l="0" t="0" r="0" b="0"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5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3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按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钮进行标的详情的查看操作。</w:t>
      </w:r>
    </w:p>
    <w:p>
      <w:pPr>
        <w:pStyle w:val="6"/>
        <w:ind w:left="120"/>
        <w:rPr>
          <w:rFonts w:ascii="宋体" w:hAnsi="宋体" w:eastAsia="宋体" w:cs="宋体"/>
          <w:spacing w:val="-3"/>
          <w:sz w:val="28"/>
          <w:szCs w:val="28"/>
        </w:rPr>
      </w:pP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683250" cy="26492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</w:pPr>
      <w:r>
        <w:drawing>
          <wp:inline distT="0" distB="0" distL="0" distR="0">
            <wp:extent cx="5683250" cy="2985135"/>
            <wp:effectExtent l="0" t="0" r="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"/>
        <w:outlineLvl w:val="1"/>
        <w:rPr>
          <w:rFonts w:ascii="宋体" w:hAnsi="宋体" w:eastAsia="宋体" w:cs="宋体"/>
          <w:b/>
          <w:sz w:val="28"/>
          <w:szCs w:val="28"/>
        </w:rPr>
      </w:pPr>
      <w:bookmarkStart w:id="21" w:name="_Toc7420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2、竞价标的</w:t>
      </w:r>
      <w:bookmarkEnd w:id="21"/>
    </w:p>
    <w:p>
      <w:pPr>
        <w:spacing w:before="1" w:line="417" w:lineRule="auto"/>
        <w:ind w:left="120" w:right="517" w:firstLine="55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8"/>
          <w:sz w:val="28"/>
          <w:szCs w:val="28"/>
        </w:rPr>
        <w:t>竞买人完成竞价报名流程且现场保证金确认完毕，在挂牌开始后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竞买人可进入竞价操作流程。</w:t>
      </w:r>
    </w:p>
    <w:p>
      <w:pPr>
        <w:pStyle w:val="6"/>
        <w:ind w:left="120"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点击【产权业务】---【竞价标的】点击对应竞价项目进入竞价</w:t>
      </w:r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流程。</w:t>
      </w:r>
      <w:r>
        <w:drawing>
          <wp:inline distT="0" distB="0" distL="0" distR="0">
            <wp:extent cx="5683250" cy="246253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    </w:t>
      </w:r>
    </w:p>
    <w:p>
      <w:pPr>
        <w:pStyle w:val="6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4"/>
        <w:numPr>
          <w:numId w:val="0"/>
        </w:numPr>
        <w:ind w:left="402" w:leftChars="0"/>
      </w:pPr>
      <w:bookmarkStart w:id="22" w:name="_bookmark19"/>
      <w:bookmarkEnd w:id="22"/>
      <w:bookmarkStart w:id="23" w:name="3.1_阅读《电子竞价分享告知及接受确认书》"/>
      <w:bookmarkEnd w:id="23"/>
      <w:r>
        <w:rPr>
          <w:rFonts w:hint="eastAsia"/>
          <w:lang w:val="en-US" w:eastAsia="zh-CN"/>
        </w:rPr>
        <w:t>2.1</w:t>
      </w:r>
      <w:r>
        <w:rPr>
          <w:rFonts w:hint="eastAsia"/>
        </w:rPr>
        <w:t>阅读《电子竞价分享告知及接受确认书》</w:t>
      </w:r>
    </w:p>
    <w:p>
      <w:pPr>
        <w:pStyle w:val="6"/>
        <w:spacing w:before="1"/>
        <w:rPr>
          <w:rFonts w:ascii="宋体" w:hAnsi="宋体" w:eastAsia="宋体" w:cs="宋体"/>
          <w:b/>
          <w:sz w:val="28"/>
          <w:szCs w:val="28"/>
        </w:rPr>
      </w:pPr>
    </w:p>
    <w:p>
      <w:pPr>
        <w:pStyle w:val="6"/>
        <w:ind w:firstLine="520" w:firstLineChars="200"/>
        <w:rPr>
          <w:rFonts w:ascii="宋体" w:hAnsi="宋体" w:eastAsia="宋体" w:cs="宋体"/>
          <w:spacing w:val="-4"/>
          <w:sz w:val="28"/>
          <w:szCs w:val="28"/>
        </w:rPr>
      </w:pPr>
      <w:r>
        <w:rPr>
          <w:rFonts w:hint="eastAsia" w:ascii="宋体" w:hAnsi="宋体" w:eastAsia="宋体" w:cs="宋体"/>
          <w:spacing w:val="-10"/>
          <w:sz w:val="28"/>
          <w:szCs w:val="28"/>
        </w:rPr>
        <w:t>请认真阅读《电子竞价风险告知及接受确认书》内容，同意后点</w:t>
      </w:r>
      <w:r>
        <w:rPr>
          <w:rFonts w:hint="eastAsia" w:ascii="宋体" w:hAnsi="宋体" w:eastAsia="宋体" w:cs="宋体"/>
          <w:spacing w:val="-4"/>
          <w:sz w:val="28"/>
          <w:szCs w:val="28"/>
        </w:rPr>
        <w:t>击</w:t>
      </w:r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4"/>
          <w:sz w:val="28"/>
          <w:szCs w:val="28"/>
        </w:rPr>
        <w:t>【同意】按钮。</w:t>
      </w: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ab/>
      </w: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86360</wp:posOffset>
            </wp:positionV>
            <wp:extent cx="5512435" cy="2378075"/>
            <wp:effectExtent l="0" t="0" r="12065" b="3175"/>
            <wp:wrapNone/>
            <wp:docPr id="9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9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pStyle w:val="6"/>
        <w:tabs>
          <w:tab w:val="left" w:pos="1253"/>
        </w:tabs>
        <w:spacing w:before="8"/>
        <w:rPr>
          <w:rFonts w:ascii="宋体" w:hAnsi="宋体" w:eastAsia="宋体" w:cs="宋体"/>
          <w:sz w:val="28"/>
          <w:szCs w:val="28"/>
        </w:rPr>
      </w:pPr>
    </w:p>
    <w:p>
      <w:pPr>
        <w:spacing w:before="44"/>
        <w:ind w:left="633" w:right="1025"/>
        <w:jc w:val="center"/>
        <w:rPr>
          <w:rFonts w:ascii="宋体" w:hAnsi="宋体" w:eastAsia="宋体" w:cs="宋体"/>
          <w:b/>
          <w:color w:val="333333"/>
          <w:sz w:val="28"/>
          <w:szCs w:val="28"/>
        </w:rPr>
      </w:pPr>
      <w:bookmarkStart w:id="24" w:name="电子竞价风险告知及接受确认书"/>
      <w:bookmarkEnd w:id="24"/>
    </w:p>
    <w:p>
      <w:pPr>
        <w:spacing w:before="44"/>
        <w:ind w:left="633" w:right="1025"/>
        <w:jc w:val="center"/>
        <w:rPr>
          <w:rFonts w:ascii="宋体" w:hAnsi="宋体" w:eastAsia="宋体" w:cs="宋体"/>
          <w:b/>
          <w:color w:val="333333"/>
          <w:sz w:val="28"/>
          <w:szCs w:val="28"/>
        </w:rPr>
      </w:pPr>
    </w:p>
    <w:p>
      <w:pPr>
        <w:pStyle w:val="17"/>
        <w:ind w:left="0" w:leftChars="0"/>
        <w:rPr>
          <w:rFonts w:hint="eastAsia" w:ascii="宋体" w:hAnsi="宋体" w:eastAsia="宋体" w:cs="宋体"/>
          <w:color w:val="666666"/>
          <w:sz w:val="28"/>
          <w:szCs w:val="28"/>
          <w:lang w:val="zh-CN" w:bidi="zh-CN"/>
        </w:rPr>
      </w:pPr>
    </w:p>
    <w:p>
      <w:pPr>
        <w:pStyle w:val="4"/>
        <w:numPr>
          <w:numId w:val="0"/>
        </w:numPr>
      </w:pPr>
      <w:r>
        <w:rPr>
          <w:rFonts w:hint="eastAsia"/>
          <w:lang w:val="en-US" w:eastAsia="zh-CN"/>
        </w:rPr>
        <w:t>2.2</w:t>
      </w:r>
      <w:r>
        <w:rPr>
          <w:rFonts w:hint="eastAsia"/>
        </w:rPr>
        <w:t>竞价系统页面</w:t>
      </w:r>
    </w:p>
    <w:p>
      <w:pPr>
        <w:pStyle w:val="6"/>
        <w:spacing w:before="12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84455</wp:posOffset>
            </wp:positionV>
            <wp:extent cx="5285740" cy="3423920"/>
            <wp:effectExtent l="0" t="0" r="0" b="0"/>
            <wp:wrapTopAndBottom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50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431" cy="342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5" w:line="340" w:lineRule="auto"/>
        <w:ind w:left="120" w:right="517" w:firstLine="559"/>
        <w:rPr>
          <w:rFonts w:ascii="宋体" w:hAnsi="宋体" w:eastAsia="宋体" w:cs="宋体"/>
          <w:spacing w:val="-11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pacing w:val="-1"/>
          <w:sz w:val="28"/>
          <w:szCs w:val="28"/>
        </w:rPr>
        <w:t>展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开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更多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按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钮</w:t>
      </w:r>
      <w:r>
        <w:rPr>
          <w:rFonts w:hint="eastAsia" w:ascii="宋体" w:hAnsi="宋体" w:eastAsia="宋体" w:cs="宋体"/>
          <w:spacing w:val="-121"/>
          <w:sz w:val="28"/>
          <w:szCs w:val="28"/>
        </w:rPr>
        <w:t>：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点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击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竞价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系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统页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面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左上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角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的展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开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更多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按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钮</w:t>
      </w:r>
      <w:r>
        <w:rPr>
          <w:rFonts w:hint="eastAsia" w:ascii="宋体" w:hAnsi="宋体" w:eastAsia="宋体" w:cs="宋体"/>
          <w:spacing w:val="-11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"/>
          <w:sz w:val="28"/>
          <w:szCs w:val="28"/>
        </w:rPr>
        <w:drawing>
          <wp:inline distT="0" distB="0" distL="0" distR="0">
            <wp:extent cx="371475" cy="257175"/>
            <wp:effectExtent l="0" t="0" r="0" b="0"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51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展</w:t>
      </w:r>
      <w:r>
        <w:rPr>
          <w:rFonts w:hint="eastAsia" w:ascii="宋体" w:hAnsi="宋体" w:eastAsia="宋体" w:cs="宋体"/>
          <w:spacing w:val="-11"/>
          <w:sz w:val="28"/>
          <w:szCs w:val="28"/>
        </w:rPr>
        <w:t>开竞价概况和竞价记录功能，可以查看到本竞价项目的概况信息和竞</w:t>
      </w:r>
      <w:r>
        <w:rPr>
          <w:rFonts w:hint="eastAsia" w:ascii="宋体" w:hAnsi="宋体" w:eastAsia="宋体" w:cs="宋体"/>
          <w:spacing w:val="-11"/>
          <w:sz w:val="28"/>
          <w:szCs w:val="28"/>
          <w:lang w:val="en-US"/>
        </w:rPr>
        <w:t>价记录信息。</w:t>
      </w:r>
    </w:p>
    <w:p>
      <w:pPr>
        <w:spacing w:before="145" w:line="340" w:lineRule="auto"/>
        <w:ind w:right="517"/>
        <w:rPr>
          <w:rFonts w:ascii="宋体" w:hAnsi="宋体" w:eastAsia="宋体" w:cs="宋体"/>
          <w:spacing w:val="-11"/>
          <w:sz w:val="28"/>
          <w:szCs w:val="28"/>
          <w:lang w:val="en-US"/>
        </w:rPr>
      </w:pPr>
    </w:p>
    <w:p>
      <w:pPr>
        <w:pStyle w:val="4"/>
        <w:numPr>
          <w:numId w:val="0"/>
        </w:numPr>
        <w:ind w:left="402" w:leftChars="0"/>
        <w:rPr>
          <w:b/>
          <w:bCs/>
        </w:rPr>
      </w:pPr>
      <w:bookmarkStart w:id="25" w:name="_bookmark21"/>
      <w:bookmarkEnd w:id="25"/>
      <w:bookmarkStart w:id="26" w:name="3.3_挂牌竞价期"/>
      <w:bookmarkEnd w:id="26"/>
      <w:r>
        <w:rPr>
          <w:rFonts w:hint="eastAsia"/>
          <w:lang w:val="en-US" w:eastAsia="zh-CN"/>
        </w:rPr>
        <w:t>2.3</w:t>
      </w:r>
      <w:r>
        <w:rPr>
          <w:rFonts w:hint="eastAsia"/>
        </w:rPr>
        <w:t>挂牌竞价期</w:t>
      </w:r>
      <w:bookmarkStart w:id="27" w:name="3.3.1_快速报价"/>
      <w:bookmarkEnd w:id="27"/>
      <w:bookmarkStart w:id="28" w:name="_bookmark22"/>
      <w:bookmarkEnd w:id="28"/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786765</wp:posOffset>
            </wp:positionV>
            <wp:extent cx="5430520" cy="2971800"/>
            <wp:effectExtent l="0" t="0" r="1778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3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2"/>
          <w:sz w:val="28"/>
          <w:szCs w:val="28"/>
        </w:rPr>
        <w:t>快速报价</w:t>
      </w:r>
      <w:r>
        <w:rPr>
          <w:rFonts w:hint="eastAsia" w:ascii="宋体" w:hAnsi="宋体" w:eastAsia="宋体" w:cs="宋体"/>
          <w:spacing w:val="-11"/>
          <w:sz w:val="28"/>
          <w:szCs w:val="28"/>
        </w:rPr>
        <w:t>：快速报价是在上一次报价的基础上加一倍的竞价阶梯</w:t>
      </w:r>
      <w:r>
        <w:rPr>
          <w:rFonts w:hint="eastAsia" w:ascii="宋体" w:hAnsi="宋体" w:eastAsia="宋体" w:cs="宋体"/>
          <w:spacing w:val="-5"/>
          <w:sz w:val="28"/>
          <w:szCs w:val="28"/>
        </w:rPr>
        <w:t>进行的快速报价功能。</w:t>
      </w: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5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b/>
          <w:sz w:val="28"/>
          <w:szCs w:val="28"/>
        </w:rPr>
      </w:pPr>
      <w:bookmarkStart w:id="29" w:name="3.3.2_提交报价"/>
      <w:bookmarkEnd w:id="29"/>
      <w:bookmarkStart w:id="30" w:name="_bookmark23"/>
      <w:bookmarkEnd w:id="30"/>
    </w:p>
    <w:p>
      <w:pPr>
        <w:pStyle w:val="6"/>
        <w:ind w:left="120"/>
        <w:rPr>
          <w:rFonts w:ascii="宋体" w:hAnsi="宋体" w:eastAsia="宋体" w:cs="宋体"/>
          <w:spacing w:val="-142"/>
          <w:sz w:val="28"/>
          <w:szCs w:val="28"/>
        </w:rPr>
      </w:pPr>
      <w:r>
        <w:rPr>
          <w:rFonts w:hint="eastAsia" w:ascii="宋体" w:hAnsi="宋体" w:eastAsia="宋体" w:cs="宋体"/>
          <w:spacing w:val="-2"/>
          <w:sz w:val="28"/>
          <w:szCs w:val="28"/>
        </w:rPr>
        <w:t>提交报价</w:t>
      </w:r>
      <w:r>
        <w:rPr>
          <w:rFonts w:hint="eastAsia" w:ascii="宋体" w:hAnsi="宋体" w:eastAsia="宋体" w:cs="宋体"/>
          <w:spacing w:val="-12"/>
          <w:sz w:val="28"/>
          <w:szCs w:val="28"/>
        </w:rPr>
        <w:t>：提交报价功能是最普遍的竞价功能，竞买人可选择在</w:t>
      </w:r>
      <w:r>
        <w:rPr>
          <w:rFonts w:hint="eastAsia" w:ascii="宋体" w:hAnsi="宋体" w:eastAsia="宋体" w:cs="宋体"/>
          <w:spacing w:val="1"/>
          <w:sz w:val="28"/>
          <w:szCs w:val="28"/>
        </w:rPr>
        <w:t>上一次报价的基础上增加</w:t>
      </w:r>
      <w:r>
        <w:rPr>
          <w:rFonts w:hint="eastAsia" w:ascii="宋体" w:hAnsi="宋体" w:eastAsia="宋体" w:cs="宋体"/>
          <w:sz w:val="28"/>
          <w:szCs w:val="28"/>
        </w:rPr>
        <w:t xml:space="preserve">N </w:t>
      </w:r>
      <w:r>
        <w:rPr>
          <w:rFonts w:hint="eastAsia" w:ascii="宋体" w:hAnsi="宋体" w:eastAsia="宋体" w:cs="宋体"/>
          <w:spacing w:val="-17"/>
          <w:sz w:val="28"/>
          <w:szCs w:val="28"/>
        </w:rPr>
        <w:t>倍的竞价阶梯进行报价</w:t>
      </w:r>
      <w:r>
        <w:rPr>
          <w:rFonts w:hint="eastAsia" w:ascii="宋体" w:hAnsi="宋体" w:eastAsia="宋体" w:cs="宋体"/>
          <w:sz w:val="28"/>
          <w:szCs w:val="28"/>
        </w:rPr>
        <w:t>（N</w:t>
      </w:r>
      <w:r>
        <w:rPr>
          <w:rFonts w:hint="eastAsia" w:ascii="宋体" w:hAnsi="宋体" w:eastAsia="宋体" w:cs="宋体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15"/>
          <w:sz w:val="28"/>
          <w:szCs w:val="28"/>
        </w:rPr>
        <w:t xml:space="preserve">值大于等于 </w:t>
      </w:r>
      <w:r>
        <w:rPr>
          <w:rFonts w:hint="eastAsia" w:ascii="宋体" w:hAnsi="宋体" w:eastAsia="宋体" w:cs="宋体"/>
          <w:sz w:val="28"/>
          <w:szCs w:val="28"/>
        </w:rPr>
        <w:t xml:space="preserve">1， </w:t>
      </w:r>
      <w:r>
        <w:rPr>
          <w:rFonts w:hint="eastAsia" w:ascii="宋体" w:hAnsi="宋体" w:eastAsia="宋体" w:cs="宋体"/>
          <w:spacing w:val="-16"/>
          <w:sz w:val="28"/>
          <w:szCs w:val="28"/>
        </w:rPr>
        <w:t xml:space="preserve">小于等于 </w:t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pacing w:val="-13"/>
          <w:sz w:val="28"/>
          <w:szCs w:val="28"/>
        </w:rPr>
        <w:t xml:space="preserve">；即最大增加 </w:t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pacing w:val="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倍的竞价阶梯进行报价</w:t>
      </w:r>
      <w:r>
        <w:rPr>
          <w:rFonts w:hint="eastAsia" w:ascii="宋体" w:hAnsi="宋体" w:eastAsia="宋体" w:cs="宋体"/>
          <w:spacing w:val="-142"/>
          <w:sz w:val="28"/>
          <w:szCs w:val="28"/>
        </w:rPr>
        <w:t>）</w:t>
      </w:r>
    </w:p>
    <w:p>
      <w:pPr>
        <w:pStyle w:val="6"/>
        <w:ind w:left="120"/>
        <w:rPr>
          <w:rFonts w:ascii="宋体" w:hAnsi="宋体" w:eastAsia="宋体" w:cs="宋体"/>
          <w:spacing w:val="-142"/>
          <w:sz w:val="28"/>
          <w:szCs w:val="28"/>
        </w:rPr>
      </w:pP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470525" cy="2806065"/>
            <wp:effectExtent l="0" t="0" r="15875" b="13335"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4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outlineLvl w:val="2"/>
      </w:pPr>
      <w:bookmarkStart w:id="31" w:name="_bookmark24"/>
      <w:bookmarkEnd w:id="31"/>
      <w:bookmarkStart w:id="32" w:name="3.4_延时竞价期"/>
      <w:bookmarkEnd w:id="32"/>
      <w:r>
        <w:rPr>
          <w:rFonts w:hint="eastAsia"/>
          <w:lang w:val="en-US" w:eastAsia="zh-CN"/>
        </w:rPr>
        <w:t>2.4</w:t>
      </w:r>
      <w:r>
        <w:rPr>
          <w:rFonts w:hint="eastAsia"/>
        </w:rPr>
        <w:t>延时竞价期</w:t>
      </w:r>
    </w:p>
    <w:p>
      <w:pPr>
        <w:pStyle w:val="6"/>
        <w:spacing w:before="1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417" w:lineRule="auto"/>
        <w:ind w:left="120" w:right="423" w:firstLine="559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1499870</wp:posOffset>
                </wp:positionV>
                <wp:extent cx="5274310" cy="1501775"/>
                <wp:effectExtent l="0" t="0" r="0" b="0"/>
                <wp:wrapNone/>
                <wp:docPr id="62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50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2"/>
                              <w:tblW w:w="0" w:type="auto"/>
                              <w:tblInd w:w="7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560"/>
                              <w:gridCol w:w="3640"/>
                              <w:gridCol w:w="560"/>
                              <w:gridCol w:w="3546"/>
                            </w:tblGrid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3" w:hRule="atLeast"/>
                              </w:trPr>
                              <w:tc>
                                <w:tcPr>
                                  <w:tcW w:w="560" w:type="dxa"/>
                                  <w:tcBorders>
                                    <w:bottom w:val="single" w:color="FFFFFF" w:sz="52" w:space="0"/>
                                  </w:tcBorders>
                                </w:tcPr>
                                <w:p>
                                  <w:pPr>
                                    <w:pStyle w:val="1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6" w:type="dxa"/>
                                  <w:gridSpan w:val="3"/>
                                  <w:tcBorders>
                                    <w:bottom w:val="single" w:color="FFFFFF" w:sz="52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16"/>
                                    <w:spacing w:before="133" w:line="339" w:lineRule="exact"/>
                                    <w:ind w:left="-1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备注：延时竞价期，延时周期为设定竞价规则时就设置好了，在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8306" w:type="dxa"/>
                                  <w:gridSpan w:val="4"/>
                                  <w:tcBorders>
                                    <w:top w:val="single" w:color="FFFFFF" w:sz="52" w:space="0"/>
                                    <w:bottom w:val="single" w:color="FFFFFF" w:sz="52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16"/>
                                    <w:spacing w:before="134" w:line="339" w:lineRule="exact"/>
                                    <w:ind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>延迟周期内发生报价后，系统会进入下一个延迟周期继续竞价，直至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4760" w:type="dxa"/>
                                  <w:gridSpan w:val="3"/>
                                  <w:tcBorders>
                                    <w:top w:val="single" w:color="FFFFFF" w:sz="52" w:space="0"/>
                                    <w:bottom w:val="single" w:color="FFFFFF" w:sz="52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16"/>
                                    <w:spacing w:before="133" w:line="339" w:lineRule="exact"/>
                                    <w:ind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>延迟周期内没人报价则延时竞价结束。</w:t>
                                  </w:r>
                                </w:p>
                              </w:tc>
                              <w:tc>
                                <w:tcPr>
                                  <w:tcW w:w="3546" w:type="dxa"/>
                                  <w:tcBorders>
                                    <w:top w:val="single" w:color="FFFFFF" w:sz="52" w:space="0"/>
                                    <w:bottom w:val="single" w:color="FFFFFF" w:sz="52" w:space="0"/>
                                  </w:tcBorders>
                                </w:tcPr>
                                <w:p>
                                  <w:pPr>
                                    <w:pStyle w:val="1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560" w:type="dxa"/>
                                  <w:tcBorders>
                                    <w:top w:val="single" w:color="FFFFFF" w:sz="52" w:space="0"/>
                                  </w:tcBorders>
                                </w:tcPr>
                                <w:p>
                                  <w:pPr>
                                    <w:pStyle w:val="1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color="FFFFFF" w:sz="52" w:space="0"/>
                                  </w:tcBorders>
                                  <w:shd w:val="clear" w:color="auto" w:fill="FFFF00"/>
                                </w:tcPr>
                                <w:p>
                                  <w:pPr>
                                    <w:pStyle w:val="16"/>
                                    <w:spacing w:before="133" w:line="339" w:lineRule="exact"/>
                                    <w:ind w:left="-1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>延迟周期在下图中位置查看。</w:t>
                                  </w:r>
                                </w:p>
                              </w:tc>
                              <w:tc>
                                <w:tcPr>
                                  <w:tcW w:w="4106" w:type="dxa"/>
                                  <w:gridSpan w:val="2"/>
                                  <w:tcBorders>
                                    <w:top w:val="single" w:color="FFFFFF" w:sz="52" w:space="0"/>
                                  </w:tcBorders>
                                </w:tcPr>
                                <w:p>
                                  <w:pPr>
                                    <w:pStyle w:val="16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90pt;margin-top:118.1pt;height:118.25pt;width:415.3pt;mso-position-horizontal-relative:page;z-index:251667456;mso-width-relative:page;mso-height-relative:page;" filled="f" stroked="f" coordsize="21600,21600" o:gfxdata="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/8e3doAAAAMAQAADwAAAAAAAAABACAAAAAiAAAAZHJzL2Rvd25yZXYueG1s&#10;UEsBAhQAFAAAAAgAh07iQKvHRrq9AQAAdQ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12"/>
                        <w:tblW w:w="0" w:type="auto"/>
                        <w:tblInd w:w="7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560"/>
                        <w:gridCol w:w="3640"/>
                        <w:gridCol w:w="560"/>
                        <w:gridCol w:w="3546"/>
                      </w:tblGrid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3" w:hRule="atLeast"/>
                        </w:trPr>
                        <w:tc>
                          <w:tcPr>
                            <w:tcW w:w="560" w:type="dxa"/>
                            <w:tcBorders>
                              <w:bottom w:val="single" w:color="FFFFFF" w:sz="52" w:space="0"/>
                            </w:tcBorders>
                          </w:tcPr>
                          <w:p>
                            <w:pPr>
                              <w:pStyle w:val="1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746" w:type="dxa"/>
                            <w:gridSpan w:val="3"/>
                            <w:tcBorders>
                              <w:bottom w:val="single" w:color="FFFFFF" w:sz="52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16"/>
                              <w:spacing w:before="133" w:line="339" w:lineRule="exact"/>
                              <w:ind w:left="-1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备注：延时竞价期，延时周期为设定竞价规则时就设置好了，在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8306" w:type="dxa"/>
                            <w:gridSpan w:val="4"/>
                            <w:tcBorders>
                              <w:top w:val="single" w:color="FFFFFF" w:sz="52" w:space="0"/>
                              <w:bottom w:val="single" w:color="FFFFFF" w:sz="52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16"/>
                              <w:spacing w:before="134" w:line="339" w:lineRule="exact"/>
                              <w:ind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延迟周期内发生报价后，系统会进入下一个延迟周期继续竞价，直至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4760" w:type="dxa"/>
                            <w:gridSpan w:val="3"/>
                            <w:tcBorders>
                              <w:top w:val="single" w:color="FFFFFF" w:sz="52" w:space="0"/>
                              <w:bottom w:val="single" w:color="FFFFFF" w:sz="52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16"/>
                              <w:spacing w:before="133" w:line="339" w:lineRule="exact"/>
                              <w:ind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>延迟周期内没人报价则延时竞价结束。</w:t>
                            </w:r>
                          </w:p>
                        </w:tc>
                        <w:tc>
                          <w:tcPr>
                            <w:tcW w:w="3546" w:type="dxa"/>
                            <w:tcBorders>
                              <w:top w:val="single" w:color="FFFFFF" w:sz="52" w:space="0"/>
                              <w:bottom w:val="single" w:color="FFFFFF" w:sz="52" w:space="0"/>
                            </w:tcBorders>
                          </w:tcPr>
                          <w:p>
                            <w:pPr>
                              <w:pStyle w:val="1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560" w:type="dxa"/>
                            <w:tcBorders>
                              <w:top w:val="single" w:color="FFFFFF" w:sz="52" w:space="0"/>
                            </w:tcBorders>
                          </w:tcPr>
                          <w:p>
                            <w:pPr>
                              <w:pStyle w:val="1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color="FFFFFF" w:sz="52" w:space="0"/>
                            </w:tcBorders>
                            <w:shd w:val="clear" w:color="auto" w:fill="FFFF00"/>
                          </w:tcPr>
                          <w:p>
                            <w:pPr>
                              <w:pStyle w:val="16"/>
                              <w:spacing w:before="133" w:line="339" w:lineRule="exact"/>
                              <w:ind w:left="-1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3"/>
                                <w:sz w:val="28"/>
                              </w:rPr>
                              <w:t>延迟周期在下图中位置查看。</w:t>
                            </w:r>
                          </w:p>
                        </w:tc>
                        <w:tc>
                          <w:tcPr>
                            <w:tcW w:w="4106" w:type="dxa"/>
                            <w:gridSpan w:val="2"/>
                            <w:tcBorders>
                              <w:top w:val="single" w:color="FFFFFF" w:sz="52" w:space="0"/>
                            </w:tcBorders>
                          </w:tcPr>
                          <w:p>
                            <w:pPr>
                              <w:pStyle w:val="16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pacing w:val="-23"/>
          <w:sz w:val="28"/>
          <w:szCs w:val="28"/>
        </w:rPr>
        <w:t>挂牌期限届满，系统会询问是否进入自由竞价期，有两家以上</w:t>
      </w:r>
      <w:r>
        <w:rPr>
          <w:rFonts w:hint="eastAsia" w:ascii="宋体" w:hAnsi="宋体" w:eastAsia="宋体" w:cs="宋体"/>
          <w:sz w:val="28"/>
          <w:szCs w:val="28"/>
        </w:rPr>
        <w:t>（含</w:t>
      </w:r>
      <w:r>
        <w:rPr>
          <w:rFonts w:hint="eastAsia" w:ascii="宋体" w:hAnsi="宋体" w:eastAsia="宋体" w:cs="宋体"/>
          <w:spacing w:val="-2"/>
          <w:sz w:val="28"/>
          <w:szCs w:val="28"/>
        </w:rPr>
        <w:t>两人</w:t>
      </w:r>
      <w:r>
        <w:rPr>
          <w:rFonts w:hint="eastAsia" w:ascii="宋体" w:hAnsi="宋体" w:eastAsia="宋体" w:cs="宋体"/>
          <w:spacing w:val="-1"/>
          <w:sz w:val="28"/>
          <w:szCs w:val="28"/>
        </w:rPr>
        <w:t>）</w:t>
      </w:r>
      <w:r>
        <w:rPr>
          <w:rFonts w:hint="eastAsia" w:ascii="宋体" w:hAnsi="宋体" w:eastAsia="宋体" w:cs="宋体"/>
          <w:spacing w:val="-3"/>
          <w:sz w:val="28"/>
          <w:szCs w:val="28"/>
        </w:rPr>
        <w:t xml:space="preserve">已报价的竞买人继续参加报价的，则该产权交易挂牌截止时， </w:t>
      </w:r>
      <w:r>
        <w:rPr>
          <w:rFonts w:hint="eastAsia" w:ascii="宋体" w:hAnsi="宋体" w:eastAsia="宋体" w:cs="宋体"/>
          <w:spacing w:val="-8"/>
          <w:sz w:val="28"/>
          <w:szCs w:val="28"/>
        </w:rPr>
        <w:t>系统对该宗产权交易自动进入网上限时竞价程序，限时竞价依系统设</w:t>
      </w:r>
      <w:r>
        <w:rPr>
          <w:rFonts w:hint="eastAsia" w:ascii="宋体" w:hAnsi="宋体" w:eastAsia="宋体" w:cs="宋体"/>
          <w:spacing w:val="-3"/>
          <w:sz w:val="28"/>
          <w:szCs w:val="28"/>
        </w:rPr>
        <w:t>定的程序进行，不受挂牌截止时间的限制，直至限时竞价结束。</w:t>
      </w:r>
    </w:p>
    <w:p>
      <w:pPr>
        <w:spacing w:line="417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417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417" w:lineRule="auto"/>
        <w:rPr>
          <w:rFonts w:ascii="宋体" w:hAnsi="宋体" w:eastAsia="宋体" w:cs="宋体"/>
          <w:sz w:val="28"/>
          <w:szCs w:val="28"/>
        </w:rPr>
      </w:pPr>
    </w:p>
    <w:p>
      <w:pPr>
        <w:spacing w:line="417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2805430</wp:posOffset>
            </wp:positionV>
            <wp:extent cx="5373370" cy="2968625"/>
            <wp:effectExtent l="0" t="0" r="17780" b="3175"/>
            <wp:wrapTopAndBottom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5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398135" cy="2772410"/>
            <wp:effectExtent l="0" t="0" r="12065" b="8890"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6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  <w:sectPr>
          <w:footerReference r:id="rId4" w:type="default"/>
          <w:pgSz w:w="11910" w:h="16840"/>
          <w:pgMar w:top="1440" w:right="1280" w:bottom="1080" w:left="1680" w:header="0" w:footer="895" w:gutter="0"/>
          <w:cols w:space="720" w:num="1"/>
        </w:sectPr>
      </w:pPr>
    </w:p>
    <w:p>
      <w:pPr>
        <w:pStyle w:val="6"/>
        <w:ind w:left="1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97805" cy="3215640"/>
            <wp:effectExtent l="0" t="0" r="17145" b="3810"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7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343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33" w:name="3.5竞价结束"/>
      <w:bookmarkEnd w:id="33"/>
      <w:bookmarkStart w:id="34" w:name="_bookmark25"/>
      <w:bookmarkEnd w:id="34"/>
      <w:r>
        <w:rPr>
          <w:rFonts w:hint="eastAsia"/>
          <w:lang w:val="en-US" w:eastAsia="zh-CN"/>
        </w:rPr>
        <w:t>2.5</w:t>
      </w:r>
      <w:r>
        <w:rPr>
          <w:rFonts w:hint="eastAsia"/>
        </w:rPr>
        <w:t>竞价结束</w:t>
      </w:r>
    </w:p>
    <w:p>
      <w:pPr>
        <w:pStyle w:val="6"/>
        <w:spacing w:before="1"/>
        <w:rPr>
          <w:rFonts w:ascii="宋体" w:hAnsi="宋体" w:eastAsia="宋体" w:cs="宋体"/>
          <w:b/>
          <w:sz w:val="28"/>
          <w:szCs w:val="28"/>
        </w:rPr>
      </w:pPr>
    </w:p>
    <w:p>
      <w:pPr>
        <w:spacing w:line="417" w:lineRule="auto"/>
        <w:ind w:left="120" w:right="517" w:firstLine="559"/>
        <w:rPr>
          <w:rFonts w:ascii="宋体" w:hAnsi="宋体" w:eastAsia="宋体" w:cs="宋体"/>
          <w:spacing w:val="-11"/>
          <w:sz w:val="28"/>
          <w:szCs w:val="28"/>
        </w:rPr>
      </w:pPr>
      <w:r>
        <w:rPr>
          <w:rFonts w:hint="eastAsia" w:ascii="宋体" w:hAnsi="宋体" w:eastAsia="宋体" w:cs="宋体"/>
          <w:spacing w:val="-6"/>
          <w:sz w:val="28"/>
          <w:szCs w:val="28"/>
        </w:rPr>
        <w:t>竞价结束后，</w:t>
      </w:r>
      <w:r>
        <w:rPr>
          <w:rFonts w:hint="eastAsia" w:ascii="宋体" w:hAnsi="宋体" w:eastAsia="宋体" w:cs="宋体"/>
          <w:spacing w:val="-11"/>
          <w:sz w:val="28"/>
          <w:szCs w:val="28"/>
        </w:rPr>
        <w:t>系统会提醒“竞价结束”，到此所有竞价流程结束。</w:t>
      </w:r>
    </w:p>
    <w:p>
      <w:pPr>
        <w:spacing w:line="417" w:lineRule="auto"/>
        <w:ind w:right="517"/>
      </w:pPr>
      <w:r>
        <w:drawing>
          <wp:inline distT="0" distB="0" distL="0" distR="0">
            <wp:extent cx="5683250" cy="366966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35" w:name="_Toc1639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sz w:val="28"/>
          <w:szCs w:val="28"/>
        </w:rPr>
        <w:t>历史标的</w:t>
      </w:r>
      <w:bookmarkEnd w:id="35"/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点击【产权业务】-</w:t>
      </w:r>
      <w:r>
        <w:rPr>
          <w:rFonts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</w:rPr>
        <w:t>【历史标的】可查看历史标的信息，项目信息、历史报价等。</w:t>
      </w:r>
    </w:p>
    <w:p>
      <w:pPr>
        <w:pStyle w:val="6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683250" cy="2938780"/>
            <wp:effectExtent l="0" t="0" r="1270" b="25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7" w:lineRule="auto"/>
        <w:ind w:right="517"/>
        <w:rPr>
          <w:rFonts w:hint="eastAsia"/>
        </w:rPr>
      </w:pPr>
    </w:p>
    <w:sectPr>
      <w:footerReference r:id="rId5" w:type="default"/>
      <w:pgSz w:w="11910" w:h="16840"/>
      <w:pgMar w:top="1460" w:right="1280" w:bottom="1080" w:left="1680" w:header="0" w:footer="895" w:gutter="0"/>
      <w:pgNumType w:start="3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12"/>
      </w:rPr>
    </w:pP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9932670</wp:posOffset>
              </wp:positionV>
              <wp:extent cx="263525" cy="139700"/>
              <wp:effectExtent l="0" t="0" r="0" b="0"/>
              <wp:wrapNone/>
              <wp:docPr id="6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287.2pt;margin-top:782.1pt;height:11pt;width:20.75pt;mso-position-horizontal-relative:page;mso-position-vertical-relative:page;z-index:-251651072;mso-width-relative:page;mso-height-relative:page;" filled="f" stroked="f" coordsize="21600,21600" o:gfxdata="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wsIlNsAAAANAQAADwAAAAAAAAABACAAAAAiAAAAZHJzL2Rvd25yZXYueG1s&#10;UEsBAhQAFAAAAAgAh07iQChWXB28AQAAcg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9932670</wp:posOffset>
              </wp:positionV>
              <wp:extent cx="263525" cy="139700"/>
              <wp:effectExtent l="0" t="0" r="0" b="0"/>
              <wp:wrapNone/>
              <wp:docPr id="7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87.2pt;margin-top:782.1pt;height:11pt;width:20.75pt;mso-position-horizontal-relative:page;mso-position-vertical-relative:page;z-index:-251650048;mso-width-relative:page;mso-height-relative:page;" filled="f" stroked="f" coordsize="21600,21600" o:gfxdata="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wsIlNsAAAANAQAADwAAAAAAAAABACAAAAAiAAAAZHJzL2Rvd25yZXYueG1s&#10;UEsBAhQAFAAAAAgAh07iQBS7NRC8AQAAcg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2"/>
      <w:numFmt w:val="decimal"/>
      <w:lvlText w:val="%1"/>
      <w:lvlJc w:val="left"/>
      <w:pPr>
        <w:ind w:left="938" w:hanging="536"/>
        <w:jc w:val="left"/>
      </w:pPr>
      <w:rPr>
        <w:rFonts w:hint="default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938" w:hanging="536"/>
        <w:jc w:val="left"/>
      </w:pPr>
      <w:rPr>
        <w:rFonts w:hint="default" w:ascii="Calibri" w:hAnsi="Calibri" w:eastAsia="Calibri" w:cs="Calibri"/>
        <w:b/>
        <w:bCs/>
        <w:spacing w:val="-1"/>
        <w:w w:val="99"/>
        <w:sz w:val="30"/>
        <w:szCs w:val="30"/>
        <w:lang w:val="zh-CN" w:eastAsia="zh-CN" w:bidi="zh-CN"/>
      </w:rPr>
    </w:lvl>
    <w:lvl w:ilvl="2" w:tentative="0">
      <w:start w:val="1"/>
      <w:numFmt w:val="decimal"/>
      <w:lvlText w:val="%1.%2.%3"/>
      <w:lvlJc w:val="left"/>
      <w:pPr>
        <w:ind w:left="1524" w:hanging="716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8"/>
        <w:szCs w:val="28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0" w:hanging="71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95" w:hanging="71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0" w:hanging="71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45" w:hanging="71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70" w:hanging="71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95" w:hanging="716"/>
      </w:pPr>
      <w:rPr>
        <w:rFonts w:hint="default"/>
        <w:lang w:val="zh-CN" w:eastAsia="zh-CN" w:bidi="zh-CN"/>
      </w:rPr>
    </w:lvl>
  </w:abstractNum>
  <w:abstractNum w:abstractNumId="1">
    <w:nsid w:val="DB0E922A"/>
    <w:multiLevelType w:val="singleLevel"/>
    <w:tmpl w:val="DB0E922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lNjg4ZjcyZDY1NTAyNTQ1MDJlZTJjMjJmZTI1NmUifQ=="/>
  </w:docVars>
  <w:rsids>
    <w:rsidRoot w:val="00F04780"/>
    <w:rsid w:val="0002461A"/>
    <w:rsid w:val="000C34F7"/>
    <w:rsid w:val="002E4398"/>
    <w:rsid w:val="004556DD"/>
    <w:rsid w:val="007C4649"/>
    <w:rsid w:val="00C050DB"/>
    <w:rsid w:val="00D66D57"/>
    <w:rsid w:val="00F04780"/>
    <w:rsid w:val="09615163"/>
    <w:rsid w:val="1B7E2A37"/>
    <w:rsid w:val="1F4656E1"/>
    <w:rsid w:val="1FA94D17"/>
    <w:rsid w:val="29CE5AA6"/>
    <w:rsid w:val="2B3373AA"/>
    <w:rsid w:val="305C0235"/>
    <w:rsid w:val="37DD15AA"/>
    <w:rsid w:val="39072D82"/>
    <w:rsid w:val="392B1C35"/>
    <w:rsid w:val="3D5D37B8"/>
    <w:rsid w:val="422C7BD2"/>
    <w:rsid w:val="441A5F67"/>
    <w:rsid w:val="4C365A00"/>
    <w:rsid w:val="4E3E0B9C"/>
    <w:rsid w:val="4EA60668"/>
    <w:rsid w:val="548679E7"/>
    <w:rsid w:val="58BA3515"/>
    <w:rsid w:val="6EF86847"/>
    <w:rsid w:val="76705C39"/>
    <w:rsid w:val="76E5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/>
      <w:outlineLvl w:val="0"/>
    </w:pPr>
    <w:rPr>
      <w:rFonts w:ascii="宋体" w:hAnsi="宋体" w:eastAsia="宋体" w:cs="宋体"/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58"/>
      <w:ind w:left="938" w:hanging="536"/>
      <w:outlineLvl w:val="1"/>
    </w:pPr>
    <w:rPr>
      <w:rFonts w:ascii="宋体" w:hAnsi="宋体" w:eastAsia="宋体" w:cs="宋体"/>
      <w:b/>
      <w:bCs/>
      <w:sz w:val="30"/>
      <w:szCs w:val="30"/>
    </w:rPr>
  </w:style>
  <w:style w:type="paragraph" w:styleId="4">
    <w:name w:val="heading 3"/>
    <w:basedOn w:val="1"/>
    <w:next w:val="1"/>
    <w:qFormat/>
    <w:uiPriority w:val="1"/>
    <w:pPr>
      <w:ind w:left="120"/>
      <w:outlineLvl w:val="2"/>
    </w:pPr>
    <w:rPr>
      <w:rFonts w:ascii="宋体" w:hAnsi="宋体" w:eastAsia="宋体" w:cs="宋体"/>
      <w:sz w:val="28"/>
      <w:szCs w:val="28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sz w:val="21"/>
      <w:szCs w:val="21"/>
    </w:rPr>
  </w:style>
  <w:style w:type="paragraph" w:styleId="7">
    <w:name w:val="toc 3"/>
    <w:basedOn w:val="1"/>
    <w:next w:val="1"/>
    <w:uiPriority w:val="0"/>
    <w:pPr>
      <w:ind w:left="840" w:leftChars="400"/>
    </w:p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0">
    <w:name w:val="toc 1"/>
    <w:basedOn w:val="1"/>
    <w:next w:val="1"/>
    <w:uiPriority w:val="0"/>
  </w:style>
  <w:style w:type="paragraph" w:styleId="11">
    <w:name w:val="toc 2"/>
    <w:basedOn w:val="1"/>
    <w:next w:val="1"/>
    <w:uiPriority w:val="0"/>
    <w:pPr>
      <w:ind w:left="420" w:leftChars="200"/>
    </w:p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pPr>
      <w:ind w:left="1384" w:hanging="577"/>
    </w:pPr>
    <w:rPr>
      <w:rFonts w:ascii="微软雅黑" w:hAnsi="微软雅黑" w:eastAsia="微软雅黑" w:cs="微软雅黑"/>
    </w:rPr>
  </w:style>
  <w:style w:type="paragraph" w:customStyle="1" w:styleId="16">
    <w:name w:val="Table Paragraph"/>
    <w:basedOn w:val="1"/>
    <w:qFormat/>
    <w:uiPriority w:val="1"/>
    <w:rPr>
      <w:rFonts w:ascii="宋体" w:hAnsi="宋体" w:eastAsia="宋体" w:cs="宋体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8">
    <w:name w:val="WPSOffice手动目录 1"/>
    <w:uiPriority w:val="0"/>
    <w:rPr>
      <w:rFonts w:asciiTheme="minorHAnsi" w:hAnsiTheme="minorHAnsi" w:eastAsiaTheme="minorHAnsi" w:cstheme="minorBidi"/>
      <w:lang w:val="en-US" w:eastAsia="zh-CN" w:bidi="ar-SA"/>
    </w:rPr>
  </w:style>
  <w:style w:type="paragraph" w:customStyle="1" w:styleId="19">
    <w:name w:val="WPSOffice手动目录 3"/>
    <w:qFormat/>
    <w:uiPriority w:val="0"/>
    <w:pPr>
      <w:ind w:left="400" w:leftChars="400"/>
    </w:pPr>
    <w:rPr>
      <w:rFonts w:asciiTheme="minorHAnsi" w:hAnsiTheme="minorHAnsi" w:eastAsiaTheme="minorHAnsi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5BB7BC7-FFD1-4894-9CD3-6C6A1CC913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1407</Words>
  <Characters>1531</Characters>
  <Lines>28</Lines>
  <Paragraphs>8</Paragraphs>
  <TotalTime>0</TotalTime>
  <ScaleCrop>false</ScaleCrop>
  <LinksUpToDate>false</LinksUpToDate>
  <CharactersWithSpaces>1975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2022-01-26T09:20:00Z</dcterms:created>
  <dc:creator>zhanglei</dc:creator>
  <cp:lastModifiedBy>anya1</cp:lastModifiedBy>
  <dcterms:modified xsi:type="dcterms:W3CDTF">2023-07-15T10:05:07Z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WPS Office</vt:lpwstr>
  </property>
  <property fmtid="{D5CDD505-2E9C-101B-9397-08002B2CF9AE}" pid="4" name="LastSaved">
    <vt:filetime>2022-01-26T00:00:00Z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6431991700954631A01144D621B8A340_13</vt:lpwstr>
  </property>
</Properties>
</file>